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BB244" w14:textId="660B64B8" w:rsidR="005F5336" w:rsidRDefault="00194746">
      <w:pPr>
        <w:pStyle w:val="Heading1"/>
      </w:pPr>
      <w:r>
        <w:t>7</w:t>
      </w:r>
      <w:r w:rsidR="00F647EA">
        <w:t xml:space="preserve">. </w:t>
      </w:r>
      <w:r w:rsidR="00E2090B">
        <w:t xml:space="preserve">Preparing Disclosure and </w:t>
      </w:r>
      <w:r w:rsidR="00497D54">
        <w:t>Closing</w:t>
      </w:r>
    </w:p>
    <w:p w14:paraId="1C2BB245" w14:textId="77777777" w:rsidR="005F5336" w:rsidRDefault="005F5336">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19"/>
        <w:gridCol w:w="4819"/>
      </w:tblGrid>
      <w:tr w:rsidR="005F5336" w14:paraId="1C2BB24A" w14:textId="77777777">
        <w:tc>
          <w:tcPr>
            <w:tcW w:w="4819" w:type="dxa"/>
            <w:tcBorders>
              <w:top w:val="single" w:sz="1" w:space="0" w:color="1E3A5F"/>
              <w:left w:val="single" w:sz="1" w:space="0" w:color="1E3A5F"/>
              <w:bottom w:val="single" w:sz="1" w:space="0" w:color="1E3A5F"/>
              <w:right w:val="single" w:sz="1" w:space="0" w:color="1E3A5F"/>
            </w:tcBorders>
            <w:shd w:val="clear" w:color="auto" w:fill="D5E8F0"/>
            <w:tcMar>
              <w:top w:w="100" w:type="dxa"/>
              <w:left w:w="150" w:type="dxa"/>
              <w:bottom w:w="100" w:type="dxa"/>
              <w:right w:w="150" w:type="dxa"/>
            </w:tcMar>
          </w:tcPr>
          <w:p w14:paraId="1C2BB246" w14:textId="77777777" w:rsidR="005F5336" w:rsidRDefault="00E2090B">
            <w:pPr>
              <w:spacing w:after="40"/>
            </w:pPr>
            <w:r>
              <w:rPr>
                <w:b/>
                <w:bCs/>
                <w:color w:val="1E3A5F"/>
                <w:sz w:val="18"/>
                <w:szCs w:val="18"/>
              </w:rPr>
              <w:t>Persona</w:t>
            </w:r>
          </w:p>
          <w:p w14:paraId="1C2BB247" w14:textId="77777777" w:rsidR="005F5336" w:rsidRDefault="00E2090B">
            <w:r>
              <w:rPr>
                <w:sz w:val="20"/>
                <w:szCs w:val="20"/>
              </w:rPr>
              <w:t>Jane Doe (Manager — Sell-Side)</w:t>
            </w:r>
          </w:p>
        </w:tc>
        <w:tc>
          <w:tcPr>
            <w:tcW w:w="4819" w:type="dxa"/>
            <w:tcBorders>
              <w:top w:val="single" w:sz="1" w:space="0" w:color="1E3A5F"/>
              <w:left w:val="single" w:sz="1" w:space="0" w:color="1E3A5F"/>
              <w:bottom w:val="single" w:sz="1" w:space="0" w:color="1E3A5F"/>
              <w:right w:val="single" w:sz="1" w:space="0" w:color="1E3A5F"/>
            </w:tcBorders>
            <w:shd w:val="clear" w:color="auto" w:fill="D5E8F0"/>
            <w:tcMar>
              <w:top w:w="100" w:type="dxa"/>
              <w:left w:w="150" w:type="dxa"/>
              <w:bottom w:w="100" w:type="dxa"/>
              <w:right w:w="150" w:type="dxa"/>
            </w:tcMar>
          </w:tcPr>
          <w:p w14:paraId="1C2BB248" w14:textId="77777777" w:rsidR="005F5336" w:rsidRDefault="00E2090B">
            <w:pPr>
              <w:spacing w:after="40"/>
            </w:pPr>
            <w:r>
              <w:rPr>
                <w:b/>
                <w:bCs/>
                <w:color w:val="1E3A5F"/>
                <w:sz w:val="18"/>
                <w:szCs w:val="18"/>
              </w:rPr>
              <w:t>Provides exported documents to</w:t>
            </w:r>
          </w:p>
          <w:p w14:paraId="1C2BB249" w14:textId="77777777" w:rsidR="005F5336" w:rsidRDefault="00E2090B">
            <w:proofErr w:type="gramStart"/>
            <w:r>
              <w:rPr>
                <w:sz w:val="20"/>
                <w:szCs w:val="20"/>
              </w:rPr>
              <w:t>Sell</w:t>
            </w:r>
            <w:proofErr w:type="gramEnd"/>
            <w:r>
              <w:rPr>
                <w:sz w:val="20"/>
                <w:szCs w:val="20"/>
              </w:rPr>
              <w:t>-side Legal Advisor</w:t>
            </w:r>
          </w:p>
        </w:tc>
      </w:tr>
    </w:tbl>
    <w:p w14:paraId="1C2BB24B" w14:textId="77777777" w:rsidR="005F5336" w:rsidRDefault="005F5336">
      <w:pPr>
        <w:spacing w:after="80"/>
      </w:pPr>
    </w:p>
    <w:p w14:paraId="1C2BB24C" w14:textId="77777777" w:rsidR="005F5336" w:rsidRDefault="00E2090B">
      <w:pPr>
        <w:spacing w:before="60" w:after="80"/>
      </w:pPr>
      <w:r>
        <w:t xml:space="preserve">With due diligence substantially complete and the buyer satisfied with the data room, the parties move toward execution. The final stage involves preparing the key closing attachments to the Share Purchase Agreement (SPA): the Disclosure Letter, the Data Room Document Index, and the final RFI List. These documents </w:t>
      </w:r>
      <w:proofErr w:type="spellStart"/>
      <w:r>
        <w:t>formalise</w:t>
      </w:r>
      <w:proofErr w:type="spellEnd"/>
      <w:r>
        <w:t xml:space="preserve"> what the seller has disclosed and provide the buyer with a complete record of the due diligence process.</w:t>
      </w:r>
    </w:p>
    <w:p w14:paraId="1C2BB24D" w14:textId="77777777" w:rsidR="005F5336" w:rsidRDefault="005F5336">
      <w:pPr>
        <w:spacing w:after="80"/>
      </w:pPr>
    </w:p>
    <w:p w14:paraId="1C2BB24E" w14:textId="77777777" w:rsidR="005F5336" w:rsidRDefault="00E2090B">
      <w:pPr>
        <w:pStyle w:val="Heading2"/>
      </w:pPr>
      <w:proofErr w:type="gramStart"/>
      <w:r>
        <w:t>8.1  Prepare</w:t>
      </w:r>
      <w:proofErr w:type="gramEnd"/>
      <w:r>
        <w:t xml:space="preserve"> the Disclosure Letter</w:t>
      </w:r>
    </w:p>
    <w:p w14:paraId="1C2BB24F" w14:textId="77777777" w:rsidR="005F5336" w:rsidRDefault="00E2090B">
      <w:pPr>
        <w:spacing w:before="60" w:after="80"/>
      </w:pPr>
      <w:r>
        <w:t>The Disclosure Letter is a formal legal document delivered by the seller to the buyer at or prior to settlement. Its purpose is to qualify the seller's warranties in the SPA — by disclosing known facts or circumstances that would otherwise constitute a breach of warranty, the seller limits its post-completion liability.</w:t>
      </w:r>
    </w:p>
    <w:p w14:paraId="1C2BB250" w14:textId="77777777" w:rsidR="005F5336" w:rsidRDefault="00E2090B">
      <w:pPr>
        <w:spacing w:before="60" w:after="80"/>
      </w:pPr>
      <w:r>
        <w:t>The Disclosure Letter typically consists of two parts: (1) General Disclosures, which apply across all warranties and typically disclose matters of public record (e.g. ASIC searches, publicly available information); and (2) Specific Disclosures, which disclose particular facts against specific warranty clauses.</w:t>
      </w:r>
    </w:p>
    <w:p w14:paraId="1C2BB251" w14:textId="77777777" w:rsidR="005F5336" w:rsidRDefault="005F5336">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F5336" w14:paraId="1C2BB256" w14:textId="77777777">
        <w:tc>
          <w:tcPr>
            <w:tcW w:w="9638" w:type="dxa"/>
            <w:tcBorders>
              <w:top w:val="single" w:sz="1" w:space="0" w:color="F9A825"/>
              <w:left w:val="single" w:sz="1" w:space="0" w:color="F9A825"/>
              <w:bottom w:val="single" w:sz="1" w:space="0" w:color="F9A825"/>
              <w:right w:val="single" w:sz="1" w:space="0" w:color="F9A825"/>
            </w:tcBorders>
            <w:shd w:val="clear" w:color="auto" w:fill="FFFDE7"/>
            <w:tcMar>
              <w:top w:w="120" w:type="dxa"/>
              <w:left w:w="180" w:type="dxa"/>
              <w:bottom w:w="120" w:type="dxa"/>
              <w:right w:w="180" w:type="dxa"/>
            </w:tcMar>
          </w:tcPr>
          <w:p w14:paraId="1C2BB252" w14:textId="77777777" w:rsidR="005F5336" w:rsidRDefault="00E2090B">
            <w:proofErr w:type="gramStart"/>
            <w:r>
              <w:rPr>
                <w:b/>
                <w:bCs/>
                <w:sz w:val="20"/>
                <w:szCs w:val="20"/>
              </w:rPr>
              <w:t>💡  Tip</w:t>
            </w:r>
            <w:proofErr w:type="gramEnd"/>
            <w:r>
              <w:rPr>
                <w:b/>
                <w:bCs/>
                <w:sz w:val="20"/>
                <w:szCs w:val="20"/>
              </w:rPr>
              <w:t xml:space="preserve"> — The Disclosure Letter is a Legal Document</w:t>
            </w:r>
          </w:p>
          <w:p w14:paraId="1C2BB253" w14:textId="77777777" w:rsidR="005F5336" w:rsidRDefault="00E2090B">
            <w:pPr>
              <w:spacing w:before="40"/>
            </w:pPr>
            <w:r>
              <w:rPr>
                <w:sz w:val="20"/>
                <w:szCs w:val="20"/>
              </w:rPr>
              <w:t xml:space="preserve">The Disclosure Letter is drafted and executed by the seller's legal adviser — not the broker. Your role is to facilitate the process by ensuring all relevant information from the data room and RFI responses </w:t>
            </w:r>
            <w:proofErr w:type="gramStart"/>
            <w:r>
              <w:rPr>
                <w:sz w:val="20"/>
                <w:szCs w:val="20"/>
              </w:rPr>
              <w:t>is</w:t>
            </w:r>
            <w:proofErr w:type="gramEnd"/>
            <w:r>
              <w:rPr>
                <w:sz w:val="20"/>
                <w:szCs w:val="20"/>
              </w:rPr>
              <w:t xml:space="preserve"> surfaced to the legal team.</w:t>
            </w:r>
          </w:p>
          <w:p w14:paraId="1C2BB254" w14:textId="77777777" w:rsidR="005F5336" w:rsidRDefault="00E2090B">
            <w:pPr>
              <w:spacing w:before="40"/>
            </w:pPr>
            <w:r>
              <w:rPr>
                <w:sz w:val="20"/>
                <w:szCs w:val="20"/>
              </w:rPr>
              <w:t xml:space="preserve">Never </w:t>
            </w:r>
            <w:proofErr w:type="spellStart"/>
            <w:r>
              <w:rPr>
                <w:sz w:val="20"/>
                <w:szCs w:val="20"/>
              </w:rPr>
              <w:t>finalise</w:t>
            </w:r>
            <w:proofErr w:type="spellEnd"/>
            <w:r>
              <w:rPr>
                <w:sz w:val="20"/>
                <w:szCs w:val="20"/>
              </w:rPr>
              <w:t xml:space="preserve"> or execute a Disclosure Letter without legal sign-off from the sell-side lawyers. Incorrect or incomplete disclosures can expose the seller to post-completion warranty claims.</w:t>
            </w:r>
          </w:p>
          <w:p w14:paraId="1C2BB255" w14:textId="77777777" w:rsidR="005F5336" w:rsidRDefault="00E2090B">
            <w:pPr>
              <w:spacing w:before="40"/>
            </w:pPr>
            <w:r>
              <w:rPr>
                <w:sz w:val="20"/>
                <w:szCs w:val="20"/>
              </w:rPr>
              <w:t>If there is no sell-side legal advisor, contact your Due Account Manager or Customer Support to discuss next steps (including the provision of a Due Disclosure Letter template you can use).</w:t>
            </w:r>
          </w:p>
        </w:tc>
      </w:tr>
    </w:tbl>
    <w:p w14:paraId="1C2BB257" w14:textId="77777777" w:rsidR="005F5336" w:rsidRDefault="005F5336">
      <w:pPr>
        <w:spacing w:after="80"/>
      </w:pPr>
    </w:p>
    <w:p w14:paraId="1C2BB258" w14:textId="77777777" w:rsidR="005F5336" w:rsidRDefault="00E2090B">
      <w:pPr>
        <w:pStyle w:val="Heading2"/>
      </w:pPr>
      <w:proofErr w:type="gramStart"/>
      <w:r>
        <w:t>8.2  Export</w:t>
      </w:r>
      <w:proofErr w:type="gramEnd"/>
      <w:r>
        <w:t xml:space="preserve"> the Data Room Document Index</w:t>
      </w:r>
    </w:p>
    <w:p w14:paraId="1C2BB259" w14:textId="77777777" w:rsidR="005F5336" w:rsidRDefault="00E2090B">
      <w:pPr>
        <w:spacing w:before="60" w:after="80"/>
      </w:pPr>
      <w:r>
        <w:t>The Data Room Document Index is an attachment to the SPA (or the Disclosure Letter) that records every document that was made available in the data room during the due diligence process. It serves as an evidentiary record of what was disclosed to the buyer and is important for managing post-completion disputes about the scope of disclosure.</w:t>
      </w:r>
    </w:p>
    <w:p w14:paraId="1C2BB25A" w14:textId="77777777" w:rsidR="005F5336" w:rsidRDefault="00E2090B">
      <w:pPr>
        <w:spacing w:before="60" w:after="80"/>
      </w:pPr>
      <w:r>
        <w:t>To export the Document Index from Due:</w:t>
      </w:r>
    </w:p>
    <w:p w14:paraId="1C2BB25B" w14:textId="77777777" w:rsidR="005F5336" w:rsidRDefault="00E2090B">
      <w:pPr>
        <w:pStyle w:val="ListParagraph"/>
        <w:numPr>
          <w:ilvl w:val="0"/>
          <w:numId w:val="2"/>
        </w:numPr>
        <w:spacing w:before="40" w:after="60"/>
      </w:pPr>
      <w:r>
        <w:t>Navigate to the Data Room tab in Project Alpha. Click the Export Index button. The export format is CSV/Excel (.xlsx).</w:t>
      </w:r>
    </w:p>
    <w:p w14:paraId="1C2BB25C" w14:textId="77777777" w:rsidR="005F5336" w:rsidRDefault="00E2090B">
      <w:pPr>
        <w:pStyle w:val="ListParagraph"/>
        <w:numPr>
          <w:ilvl w:val="0"/>
          <w:numId w:val="2"/>
        </w:numPr>
        <w:spacing w:before="40" w:after="60"/>
      </w:pPr>
      <w:r>
        <w:t>The exported index will list all folders and documents in the data room in hierarchical order, including document names, folder paths, and upload dates. Review the index to confirm it is complete and accurately reflects the final state of the data room at the time of disclosure.</w:t>
      </w:r>
    </w:p>
    <w:p w14:paraId="1C2BB25D" w14:textId="77777777" w:rsidR="005F5336" w:rsidRDefault="00E2090B">
      <w:pPr>
        <w:pStyle w:val="ListParagraph"/>
        <w:numPr>
          <w:ilvl w:val="0"/>
          <w:numId w:val="2"/>
        </w:numPr>
        <w:spacing w:before="40" w:after="60"/>
      </w:pPr>
      <w:r>
        <w:t xml:space="preserve">Provide the Document Index to the sell-side legal adviser for attachment to the SPA or Disclosure Letter. Retain a copy </w:t>
      </w:r>
      <w:proofErr w:type="gramStart"/>
      <w:r>
        <w:t>on</w:t>
      </w:r>
      <w:proofErr w:type="gramEnd"/>
      <w:r>
        <w:t xml:space="preserve"> file as evidence of the scope of data room access provided to the buyer.</w:t>
      </w:r>
    </w:p>
    <w:p w14:paraId="1C2BB25E" w14:textId="77777777" w:rsidR="005F5336" w:rsidRDefault="005F5336">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F5336" w14:paraId="1C2BB262" w14:textId="77777777">
        <w:tc>
          <w:tcPr>
            <w:tcW w:w="9638" w:type="dxa"/>
            <w:tcBorders>
              <w:top w:val="single" w:sz="1" w:space="0" w:color="A5D6A7"/>
              <w:left w:val="single" w:sz="1" w:space="0" w:color="A5D6A7"/>
              <w:bottom w:val="single" w:sz="1" w:space="0" w:color="A5D6A7"/>
              <w:right w:val="single" w:sz="1" w:space="0" w:color="A5D6A7"/>
            </w:tcBorders>
            <w:shd w:val="clear" w:color="auto" w:fill="E8F5E9"/>
            <w:tcMar>
              <w:top w:w="120" w:type="dxa"/>
              <w:left w:w="180" w:type="dxa"/>
              <w:bottom w:w="120" w:type="dxa"/>
              <w:right w:w="180" w:type="dxa"/>
            </w:tcMar>
          </w:tcPr>
          <w:p w14:paraId="1C2BB25F" w14:textId="77777777" w:rsidR="005F5336" w:rsidRDefault="00E2090B">
            <w:proofErr w:type="gramStart"/>
            <w:r>
              <w:rPr>
                <w:b/>
                <w:bCs/>
                <w:sz w:val="20"/>
                <w:szCs w:val="20"/>
              </w:rPr>
              <w:t>📋  Best</w:t>
            </w:r>
            <w:proofErr w:type="gramEnd"/>
            <w:r>
              <w:rPr>
                <w:b/>
                <w:bCs/>
                <w:sz w:val="20"/>
                <w:szCs w:val="20"/>
              </w:rPr>
              <w:t xml:space="preserve"> Practice — Lock the Data Room Before Exporting</w:t>
            </w:r>
          </w:p>
          <w:p w14:paraId="1C2BB260" w14:textId="77777777" w:rsidR="005F5336" w:rsidRDefault="00E2090B">
            <w:pPr>
              <w:spacing w:before="40"/>
            </w:pPr>
            <w:r>
              <w:rPr>
                <w:sz w:val="20"/>
                <w:szCs w:val="20"/>
              </w:rPr>
              <w:lastRenderedPageBreak/>
              <w:t>Before exporting the Document Index, confirm that no further documents will be added to or removed from the data room. Any change to the data room after the index is exported and attached to the SPA creates a discrepancy in the disclosure record.</w:t>
            </w:r>
          </w:p>
          <w:p w14:paraId="1C2BB261" w14:textId="77777777" w:rsidR="005F5336" w:rsidRDefault="00E2090B">
            <w:pPr>
              <w:spacing w:before="40"/>
            </w:pPr>
            <w:r>
              <w:rPr>
                <w:sz w:val="20"/>
                <w:szCs w:val="20"/>
              </w:rPr>
              <w:t>If additional documents must be added post-export, re-export the index and reissue it to the legal team before execution. To restrict the seller from adding or removing documents, we recommend changing their default Access Level to View.</w:t>
            </w:r>
          </w:p>
        </w:tc>
      </w:tr>
    </w:tbl>
    <w:p w14:paraId="1C2BB263" w14:textId="77777777" w:rsidR="005F5336" w:rsidRDefault="005F5336">
      <w:pPr>
        <w:spacing w:after="80"/>
      </w:pPr>
    </w:p>
    <w:p w14:paraId="1C2BB264" w14:textId="77777777" w:rsidR="005F5336" w:rsidRDefault="00E2090B">
      <w:pPr>
        <w:pStyle w:val="Heading2"/>
      </w:pPr>
      <w:proofErr w:type="gramStart"/>
      <w:r>
        <w:t>8.3  Export</w:t>
      </w:r>
      <w:proofErr w:type="gramEnd"/>
      <w:r>
        <w:t xml:space="preserve"> the Final RFI List</w:t>
      </w:r>
    </w:p>
    <w:p w14:paraId="1C2BB265" w14:textId="77777777" w:rsidR="005F5336" w:rsidRDefault="00E2090B">
      <w:pPr>
        <w:spacing w:before="60" w:after="80"/>
      </w:pPr>
      <w:r>
        <w:t xml:space="preserve">The RFI List (or Q&amp;A Log) documents every request for information raised during due diligence, together with the seller's responses. It is provided to the buyer's lawyers at completion as further evidence of </w:t>
      </w:r>
      <w:proofErr w:type="gramStart"/>
      <w:r>
        <w:t>disclosure, and</w:t>
      </w:r>
      <w:proofErr w:type="gramEnd"/>
      <w:r>
        <w:t xml:space="preserve"> may be cross-referenced against the Disclosure Letter.</w:t>
      </w:r>
    </w:p>
    <w:p w14:paraId="1C2BB266" w14:textId="77777777" w:rsidR="005F5336" w:rsidRDefault="00E2090B">
      <w:pPr>
        <w:spacing w:before="60" w:after="80"/>
      </w:pPr>
      <w:r>
        <w:t>To export the final RFI List from Due:</w:t>
      </w:r>
    </w:p>
    <w:p w14:paraId="1C2BB267" w14:textId="77777777" w:rsidR="005F5336" w:rsidRDefault="00E2090B">
      <w:pPr>
        <w:pStyle w:val="ListParagraph"/>
        <w:numPr>
          <w:ilvl w:val="0"/>
          <w:numId w:val="2"/>
        </w:numPr>
        <w:spacing w:before="40" w:after="60"/>
      </w:pPr>
      <w:r>
        <w:t>Navigate to the RFI tab in Project Alpha. Ensure all RFIs have been reviewed and their status updated to either Completed or Approved.</w:t>
      </w:r>
    </w:p>
    <w:p w14:paraId="1C2BB268" w14:textId="77777777" w:rsidR="005F5336" w:rsidRDefault="00E2090B">
      <w:pPr>
        <w:pStyle w:val="ListParagraph"/>
        <w:numPr>
          <w:ilvl w:val="0"/>
          <w:numId w:val="2"/>
        </w:numPr>
        <w:spacing w:before="40" w:after="60"/>
      </w:pPr>
      <w:r>
        <w:t>Any outstanding or unresolved RFIs should be addressed or flagged before export. Use the filter to list outstanding RFIs (status: Not Started or In-Progress) and export them separately if needed.</w:t>
      </w:r>
    </w:p>
    <w:p w14:paraId="1C2BB269" w14:textId="77777777" w:rsidR="005F5336" w:rsidRDefault="00E2090B">
      <w:pPr>
        <w:pStyle w:val="ListParagraph"/>
        <w:numPr>
          <w:ilvl w:val="0"/>
          <w:numId w:val="2"/>
        </w:numPr>
        <w:spacing w:before="40" w:after="60"/>
      </w:pPr>
      <w:r>
        <w:t>To export RFIs, select the RFIs you want to export and then click Download. Export format is CSV/Excel (.xlsx). The report will include each RFI reference number, RFI, response, assignee, status, any related documents referenced as the "Source", among other metadata.</w:t>
      </w:r>
    </w:p>
    <w:p w14:paraId="1C2BB26A" w14:textId="77777777" w:rsidR="005F5336" w:rsidRDefault="00E2090B">
      <w:pPr>
        <w:pStyle w:val="ListParagraph"/>
        <w:numPr>
          <w:ilvl w:val="0"/>
          <w:numId w:val="2"/>
        </w:numPr>
        <w:spacing w:before="40" w:after="60"/>
      </w:pPr>
      <w:r>
        <w:t xml:space="preserve">Provide the exported RFI List </w:t>
      </w:r>
      <w:proofErr w:type="gramStart"/>
      <w:r>
        <w:t>to</w:t>
      </w:r>
      <w:proofErr w:type="gramEnd"/>
      <w:r>
        <w:t xml:space="preserve"> the sell-side legal adviser and, at completion, </w:t>
      </w:r>
      <w:proofErr w:type="gramStart"/>
      <w:r>
        <w:t>to</w:t>
      </w:r>
      <w:proofErr w:type="gramEnd"/>
      <w:r>
        <w:t xml:space="preserve"> the buyer's lawyers. Retain a copy </w:t>
      </w:r>
      <w:proofErr w:type="gramStart"/>
      <w:r>
        <w:t>for</w:t>
      </w:r>
      <w:proofErr w:type="gramEnd"/>
      <w:r>
        <w:t xml:space="preserve"> the broker's file.</w:t>
      </w:r>
    </w:p>
    <w:p w14:paraId="1C2BB26B" w14:textId="77777777" w:rsidR="005F5336" w:rsidRDefault="005F5336">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F5336" w14:paraId="1C2BB26F" w14:textId="77777777">
        <w:tc>
          <w:tcPr>
            <w:tcW w:w="9638" w:type="dxa"/>
            <w:tcBorders>
              <w:top w:val="single" w:sz="1" w:space="0" w:color="F9A825"/>
              <w:left w:val="single" w:sz="1" w:space="0" w:color="F9A825"/>
              <w:bottom w:val="single" w:sz="1" w:space="0" w:color="F9A825"/>
              <w:right w:val="single" w:sz="1" w:space="0" w:color="F9A825"/>
            </w:tcBorders>
            <w:shd w:val="clear" w:color="auto" w:fill="FFFDE7"/>
            <w:tcMar>
              <w:top w:w="120" w:type="dxa"/>
              <w:left w:w="180" w:type="dxa"/>
              <w:bottom w:w="120" w:type="dxa"/>
              <w:right w:w="180" w:type="dxa"/>
            </w:tcMar>
          </w:tcPr>
          <w:p w14:paraId="1C2BB26C" w14:textId="77777777" w:rsidR="005F5336" w:rsidRDefault="00E2090B">
            <w:proofErr w:type="gramStart"/>
            <w:r>
              <w:rPr>
                <w:b/>
                <w:bCs/>
                <w:sz w:val="20"/>
                <w:szCs w:val="20"/>
              </w:rPr>
              <w:t>💡  Tip</w:t>
            </w:r>
            <w:proofErr w:type="gramEnd"/>
            <w:r>
              <w:rPr>
                <w:b/>
                <w:bCs/>
                <w:sz w:val="20"/>
                <w:szCs w:val="20"/>
              </w:rPr>
              <w:t xml:space="preserve"> — The RFI List as a Disclosure Record</w:t>
            </w:r>
          </w:p>
          <w:p w14:paraId="1C2BB26D" w14:textId="77777777" w:rsidR="005F5336" w:rsidRDefault="00E2090B">
            <w:pPr>
              <w:spacing w:before="40"/>
            </w:pPr>
            <w:r>
              <w:rPr>
                <w:sz w:val="20"/>
                <w:szCs w:val="20"/>
              </w:rPr>
              <w:t>The timestamped RFI record in Due is one of the most valuable outputs of the due diligence process. Because every question and response is logged with the date and the identity of the respondent, it provides objective evidence of what was asked, what was answered, and when.</w:t>
            </w:r>
          </w:p>
          <w:p w14:paraId="1C2BB26E" w14:textId="77777777" w:rsidR="005F5336" w:rsidRDefault="00E2090B">
            <w:pPr>
              <w:spacing w:before="40"/>
            </w:pPr>
            <w:r>
              <w:rPr>
                <w:sz w:val="20"/>
                <w:szCs w:val="20"/>
              </w:rPr>
              <w:t>This significantly reduces the risk of post-completion claims that the seller "failed to disclose" a matter that was in fact addressed during the Q&amp;A process.</w:t>
            </w:r>
          </w:p>
        </w:tc>
      </w:tr>
    </w:tbl>
    <w:p w14:paraId="1C2BB270" w14:textId="77777777" w:rsidR="005F5336" w:rsidRDefault="005F5336">
      <w:pPr>
        <w:spacing w:after="80"/>
      </w:pPr>
    </w:p>
    <w:p w14:paraId="1C2BB271" w14:textId="77777777" w:rsidR="005F5336" w:rsidRDefault="00E2090B">
      <w:pPr>
        <w:pStyle w:val="Heading2"/>
      </w:pPr>
      <w:proofErr w:type="gramStart"/>
      <w:r>
        <w:t>8.4  Export</w:t>
      </w:r>
      <w:proofErr w:type="gramEnd"/>
      <w:r>
        <w:t xml:space="preserve"> the Audit Log</w:t>
      </w:r>
    </w:p>
    <w:p w14:paraId="1C2BB272" w14:textId="77777777" w:rsidR="005F5336" w:rsidRDefault="00E2090B">
      <w:pPr>
        <w:spacing w:before="60" w:after="80"/>
      </w:pPr>
      <w:r>
        <w:t>The Audit Log is an automatically generated record of all activity within the project. It captures every user access event — including when users logged in, which folders and documents they viewed, and which documents they downloaded — together with timestamps and user identities.</w:t>
      </w:r>
    </w:p>
    <w:p w14:paraId="1C2BB273" w14:textId="77777777" w:rsidR="005F5336" w:rsidRDefault="00E2090B">
      <w:pPr>
        <w:spacing w:before="60" w:after="80"/>
      </w:pPr>
      <w:r>
        <w:t xml:space="preserve">Unlike the Document Index (which records what was made available), the Audit Log records what was </w:t>
      </w:r>
      <w:proofErr w:type="gramStart"/>
      <w:r>
        <w:t>actually accessed</w:t>
      </w:r>
      <w:proofErr w:type="gramEnd"/>
      <w:r>
        <w:t xml:space="preserve"> by each user. This makes the Audit Log one of the most powerful tools for managing post-completion warranty and disclosure disputes.</w:t>
      </w:r>
    </w:p>
    <w:p w14:paraId="1C2BB274" w14:textId="77777777" w:rsidR="005F5336" w:rsidRDefault="00E2090B">
      <w:pPr>
        <w:spacing w:before="60" w:after="80"/>
      </w:pPr>
      <w:r>
        <w:t xml:space="preserve">To export the Audit Log from Due, contact your Due Account Manager or Customer Support and we will export it </w:t>
      </w:r>
      <w:proofErr w:type="gramStart"/>
      <w:r>
        <w:t>for</w:t>
      </w:r>
      <w:proofErr w:type="gramEnd"/>
      <w:r>
        <w:t xml:space="preserve"> you.</w:t>
      </w:r>
    </w:p>
    <w:p w14:paraId="1C2BB275" w14:textId="77777777" w:rsidR="005F5336" w:rsidRDefault="00E2090B">
      <w:pPr>
        <w:spacing w:before="60" w:after="80"/>
      </w:pPr>
      <w:r>
        <w:t xml:space="preserve">Retain the exported Audit Log on the broker's file. It does not need to be routinely provided to the parties at </w:t>
      </w:r>
      <w:proofErr w:type="gramStart"/>
      <w:r>
        <w:t>completion, but</w:t>
      </w:r>
      <w:proofErr w:type="gramEnd"/>
      <w:r>
        <w:t xml:space="preserve"> should be available to the sell-side legal adviser if required in connection with any post-completion warranty claim or disclosure dispute.</w:t>
      </w:r>
    </w:p>
    <w:p w14:paraId="1C2BB276" w14:textId="77777777" w:rsidR="005F5336" w:rsidRDefault="005F5336">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F5336" w14:paraId="1C2BB27A" w14:textId="77777777">
        <w:tc>
          <w:tcPr>
            <w:tcW w:w="9638" w:type="dxa"/>
            <w:tcBorders>
              <w:top w:val="single" w:sz="1" w:space="0" w:color="F9A825"/>
              <w:left w:val="single" w:sz="1" w:space="0" w:color="F9A825"/>
              <w:bottom w:val="single" w:sz="1" w:space="0" w:color="F9A825"/>
              <w:right w:val="single" w:sz="1" w:space="0" w:color="F9A825"/>
            </w:tcBorders>
            <w:shd w:val="clear" w:color="auto" w:fill="FFFDE7"/>
            <w:tcMar>
              <w:top w:w="120" w:type="dxa"/>
              <w:left w:w="180" w:type="dxa"/>
              <w:bottom w:w="120" w:type="dxa"/>
              <w:right w:w="180" w:type="dxa"/>
            </w:tcMar>
          </w:tcPr>
          <w:p w14:paraId="1C2BB277" w14:textId="77777777" w:rsidR="005F5336" w:rsidRDefault="00E2090B">
            <w:proofErr w:type="gramStart"/>
            <w:r>
              <w:rPr>
                <w:b/>
                <w:bCs/>
                <w:sz w:val="20"/>
                <w:szCs w:val="20"/>
              </w:rPr>
              <w:t>💡  Tip</w:t>
            </w:r>
            <w:proofErr w:type="gramEnd"/>
            <w:r>
              <w:rPr>
                <w:b/>
                <w:bCs/>
                <w:sz w:val="20"/>
                <w:szCs w:val="20"/>
              </w:rPr>
              <w:t xml:space="preserve"> — A Due Differentiator Worth Highlighting to Clients</w:t>
            </w:r>
          </w:p>
          <w:p w14:paraId="1C2BB278" w14:textId="77777777" w:rsidR="005F5336" w:rsidRDefault="00E2090B">
            <w:pPr>
              <w:spacing w:before="40"/>
            </w:pPr>
            <w:r>
              <w:rPr>
                <w:sz w:val="20"/>
                <w:szCs w:val="20"/>
              </w:rPr>
              <w:t xml:space="preserve">Brokers using email or generic file-sharing platforms have no equivalent to the Audit Log. Being able to tell a seller </w:t>
            </w:r>
            <w:proofErr w:type="gramStart"/>
            <w:r>
              <w:rPr>
                <w:sz w:val="20"/>
                <w:szCs w:val="20"/>
              </w:rPr>
              <w:t>"we</w:t>
            </w:r>
            <w:proofErr w:type="gramEnd"/>
            <w:r>
              <w:rPr>
                <w:sz w:val="20"/>
                <w:szCs w:val="20"/>
              </w:rPr>
              <w:t xml:space="preserve"> have a </w:t>
            </w:r>
            <w:proofErr w:type="gramStart"/>
            <w:r>
              <w:rPr>
                <w:sz w:val="20"/>
                <w:szCs w:val="20"/>
              </w:rPr>
              <w:t>timestamped record</w:t>
            </w:r>
            <w:proofErr w:type="gramEnd"/>
            <w:r>
              <w:rPr>
                <w:sz w:val="20"/>
                <w:szCs w:val="20"/>
              </w:rPr>
              <w:t xml:space="preserve"> of exactly which documents each buyer accessed, and when" is a meaningful point of difference.</w:t>
            </w:r>
          </w:p>
          <w:p w14:paraId="1C2BB279" w14:textId="77777777" w:rsidR="005F5336" w:rsidRDefault="00E2090B">
            <w:pPr>
              <w:spacing w:before="40"/>
            </w:pPr>
            <w:r>
              <w:rPr>
                <w:sz w:val="20"/>
                <w:szCs w:val="20"/>
              </w:rPr>
              <w:lastRenderedPageBreak/>
              <w:t>Consider mentioning the Audit Log when pitching Due to prospective clients — it demonstrates the platform was purpose-built for M&amp;A transactions, not repurposed from a generic document management tool.</w:t>
            </w:r>
          </w:p>
        </w:tc>
      </w:tr>
    </w:tbl>
    <w:p w14:paraId="1C2BB27B" w14:textId="77777777" w:rsidR="005F5336" w:rsidRDefault="005F5336">
      <w:pPr>
        <w:spacing w:after="80"/>
      </w:pPr>
    </w:p>
    <w:p w14:paraId="1C2BB27C" w14:textId="77777777" w:rsidR="005F5336" w:rsidRDefault="00E2090B">
      <w:pPr>
        <w:pStyle w:val="Heading2"/>
      </w:pPr>
      <w:proofErr w:type="gramStart"/>
      <w:r>
        <w:t>8.5  Bulk</w:t>
      </w:r>
      <w:proofErr w:type="gramEnd"/>
      <w:r>
        <w:t xml:space="preserve"> Export of Data Room Files</w:t>
      </w:r>
    </w:p>
    <w:p w14:paraId="1C2BB27D" w14:textId="77777777" w:rsidR="005F5336" w:rsidRDefault="00E2090B">
      <w:pPr>
        <w:spacing w:before="60" w:after="80"/>
      </w:pPr>
      <w:r>
        <w:t>If the seller requires a bulk export of all files in the data room, please contact your Due Account Manager or Customer Service and we can assist.</w:t>
      </w:r>
    </w:p>
    <w:p w14:paraId="1C2BB27E" w14:textId="77777777" w:rsidR="005F5336" w:rsidRDefault="005F5336">
      <w:pPr>
        <w:spacing w:after="80"/>
      </w:pPr>
    </w:p>
    <w:p w14:paraId="1C2BB27F" w14:textId="77777777" w:rsidR="005F5336" w:rsidRDefault="00E2090B">
      <w:pPr>
        <w:pStyle w:val="Heading2"/>
      </w:pPr>
      <w:proofErr w:type="gramStart"/>
      <w:r>
        <w:t>8.6  Closing</w:t>
      </w:r>
      <w:proofErr w:type="gramEnd"/>
      <w:r>
        <w:t xml:space="preserve"> Checklist</w:t>
      </w:r>
    </w:p>
    <w:p w14:paraId="1C2BB280" w14:textId="77777777" w:rsidR="005F5336" w:rsidRDefault="00E2090B">
      <w:pPr>
        <w:spacing w:before="60" w:after="80"/>
      </w:pPr>
      <w:r>
        <w:t xml:space="preserve">Before the transaction </w:t>
      </w:r>
      <w:proofErr w:type="gramStart"/>
      <w:r>
        <w:t>completes</w:t>
      </w:r>
      <w:proofErr w:type="gramEnd"/>
      <w:r>
        <w:t>, confirm the following have been prepared and delivered to the relevant parties:</w:t>
      </w:r>
    </w:p>
    <w:p w14:paraId="1C2BB281" w14:textId="77777777" w:rsidR="005F5336" w:rsidRDefault="005F5336">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2200"/>
        <w:gridCol w:w="6838"/>
      </w:tblGrid>
      <w:tr w:rsidR="005F5336" w14:paraId="1C2BB285" w14:textId="77777777">
        <w:tc>
          <w:tcPr>
            <w:tcW w:w="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C2BB282" w14:textId="77777777" w:rsidR="005F5336" w:rsidRDefault="00E2090B">
            <w:pPr>
              <w:jc w:val="center"/>
            </w:pPr>
            <w:r>
              <w:t>☐</w:t>
            </w:r>
          </w:p>
        </w:tc>
        <w:tc>
          <w:tcPr>
            <w:tcW w:w="2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C2BB283" w14:textId="77777777" w:rsidR="005F5336" w:rsidRDefault="00E2090B">
            <w:r>
              <w:rPr>
                <w:b/>
                <w:bCs/>
                <w:sz w:val="20"/>
                <w:szCs w:val="20"/>
              </w:rPr>
              <w:t>Disclosure Letter</w:t>
            </w:r>
          </w:p>
        </w:tc>
        <w:tc>
          <w:tcPr>
            <w:tcW w:w="683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C2BB284" w14:textId="77777777" w:rsidR="005F5336" w:rsidRDefault="00E2090B">
            <w:r>
              <w:rPr>
                <w:sz w:val="20"/>
                <w:szCs w:val="20"/>
              </w:rPr>
              <w:t>Drafted by sell-side legal adviser, reviewed by broker, executed by seller, and exchanged with the SPA.</w:t>
            </w:r>
          </w:p>
        </w:tc>
      </w:tr>
      <w:tr w:rsidR="005F5336" w14:paraId="1C2BB289" w14:textId="77777777">
        <w:tc>
          <w:tcPr>
            <w:tcW w:w="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C2BB286" w14:textId="77777777" w:rsidR="005F5336" w:rsidRDefault="00E2090B">
            <w:pPr>
              <w:jc w:val="center"/>
            </w:pPr>
            <w:r>
              <w:t>☐</w:t>
            </w:r>
          </w:p>
        </w:tc>
        <w:tc>
          <w:tcPr>
            <w:tcW w:w="2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C2BB287" w14:textId="77777777" w:rsidR="005F5336" w:rsidRDefault="00E2090B">
            <w:r>
              <w:rPr>
                <w:b/>
                <w:bCs/>
                <w:sz w:val="20"/>
                <w:szCs w:val="20"/>
              </w:rPr>
              <w:t>Data Room Document Index</w:t>
            </w:r>
          </w:p>
        </w:tc>
        <w:tc>
          <w:tcPr>
            <w:tcW w:w="683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C2BB288" w14:textId="77777777" w:rsidR="005F5336" w:rsidRDefault="00E2090B">
            <w:r>
              <w:rPr>
                <w:sz w:val="20"/>
                <w:szCs w:val="20"/>
              </w:rPr>
              <w:t xml:space="preserve">Exported from Due once the data room is </w:t>
            </w:r>
            <w:proofErr w:type="spellStart"/>
            <w:r>
              <w:rPr>
                <w:sz w:val="20"/>
                <w:szCs w:val="20"/>
              </w:rPr>
              <w:t>finalised</w:t>
            </w:r>
            <w:proofErr w:type="spellEnd"/>
            <w:r>
              <w:rPr>
                <w:sz w:val="20"/>
                <w:szCs w:val="20"/>
              </w:rPr>
              <w:t>, attached to the SPA or Disclosure Letter, and retained on file.</w:t>
            </w:r>
          </w:p>
        </w:tc>
      </w:tr>
      <w:tr w:rsidR="005F5336" w14:paraId="1C2BB28D" w14:textId="77777777">
        <w:tc>
          <w:tcPr>
            <w:tcW w:w="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C2BB28A" w14:textId="77777777" w:rsidR="005F5336" w:rsidRDefault="00E2090B">
            <w:pPr>
              <w:jc w:val="center"/>
            </w:pPr>
            <w:r>
              <w:t>☐</w:t>
            </w:r>
          </w:p>
        </w:tc>
        <w:tc>
          <w:tcPr>
            <w:tcW w:w="2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C2BB28B" w14:textId="77777777" w:rsidR="005F5336" w:rsidRDefault="00E2090B">
            <w:r>
              <w:rPr>
                <w:b/>
                <w:bCs/>
                <w:sz w:val="20"/>
                <w:szCs w:val="20"/>
              </w:rPr>
              <w:t>RFI List (Q&amp;A Log)</w:t>
            </w:r>
          </w:p>
        </w:tc>
        <w:tc>
          <w:tcPr>
            <w:tcW w:w="683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C2BB28C" w14:textId="77777777" w:rsidR="005F5336" w:rsidRDefault="00E2090B">
            <w:r>
              <w:rPr>
                <w:sz w:val="20"/>
                <w:szCs w:val="20"/>
              </w:rPr>
              <w:t>Exported from Due with all RFIs at Completed or Approved status, provided to buyer's lawyers at completion, and retained on the broker's file.</w:t>
            </w:r>
          </w:p>
        </w:tc>
      </w:tr>
      <w:tr w:rsidR="005F5336" w14:paraId="1C2BB291" w14:textId="77777777">
        <w:tc>
          <w:tcPr>
            <w:tcW w:w="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C2BB28E" w14:textId="77777777" w:rsidR="005F5336" w:rsidRDefault="00E2090B">
            <w:pPr>
              <w:jc w:val="center"/>
            </w:pPr>
            <w:r>
              <w:t>☐</w:t>
            </w:r>
          </w:p>
        </w:tc>
        <w:tc>
          <w:tcPr>
            <w:tcW w:w="2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C2BB28F" w14:textId="77777777" w:rsidR="005F5336" w:rsidRDefault="00E2090B">
            <w:r>
              <w:rPr>
                <w:b/>
                <w:bCs/>
                <w:sz w:val="20"/>
                <w:szCs w:val="20"/>
              </w:rPr>
              <w:t>Buy-side access revoked</w:t>
            </w:r>
          </w:p>
        </w:tc>
        <w:tc>
          <w:tcPr>
            <w:tcW w:w="683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C2BB290" w14:textId="77777777" w:rsidR="005F5336" w:rsidRDefault="00E2090B">
            <w:r>
              <w:rPr>
                <w:sz w:val="20"/>
                <w:szCs w:val="20"/>
              </w:rPr>
              <w:t>After completion, remove or restrict buy-side access to the data room in accordance with your firm's data management policy and any obligations under the SPA.</w:t>
            </w:r>
          </w:p>
        </w:tc>
      </w:tr>
      <w:tr w:rsidR="005F5336" w14:paraId="1C2BB295" w14:textId="77777777">
        <w:tc>
          <w:tcPr>
            <w:tcW w:w="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C2BB292" w14:textId="77777777" w:rsidR="005F5336" w:rsidRDefault="00E2090B">
            <w:pPr>
              <w:jc w:val="center"/>
            </w:pPr>
            <w:r>
              <w:t>☐</w:t>
            </w:r>
          </w:p>
        </w:tc>
        <w:tc>
          <w:tcPr>
            <w:tcW w:w="2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C2BB293" w14:textId="77777777" w:rsidR="005F5336" w:rsidRDefault="00E2090B">
            <w:r>
              <w:rPr>
                <w:b/>
                <w:bCs/>
                <w:sz w:val="20"/>
                <w:szCs w:val="20"/>
              </w:rPr>
              <w:t>Project archived</w:t>
            </w:r>
          </w:p>
        </w:tc>
        <w:tc>
          <w:tcPr>
            <w:tcW w:w="683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C2BB294" w14:textId="77777777" w:rsidR="005F5336" w:rsidRDefault="00E2090B">
            <w:r>
              <w:rPr>
                <w:sz w:val="20"/>
                <w:szCs w:val="20"/>
              </w:rPr>
              <w:t>Archive the project in Due to preserve the complete record for your post-completion file. The project and its data room, RFIs, and Q&amp;A log will remain accessible to the Project Owner.</w:t>
            </w:r>
          </w:p>
        </w:tc>
      </w:tr>
      <w:tr w:rsidR="005F5336" w14:paraId="1C2BB299" w14:textId="77777777">
        <w:tc>
          <w:tcPr>
            <w:tcW w:w="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C2BB296" w14:textId="77777777" w:rsidR="005F5336" w:rsidRDefault="00E2090B">
            <w:pPr>
              <w:jc w:val="center"/>
            </w:pPr>
            <w:r>
              <w:t>☐</w:t>
            </w:r>
          </w:p>
        </w:tc>
        <w:tc>
          <w:tcPr>
            <w:tcW w:w="2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C2BB297" w14:textId="77777777" w:rsidR="005F5336" w:rsidRDefault="00E2090B">
            <w:r>
              <w:rPr>
                <w:b/>
                <w:bCs/>
                <w:sz w:val="20"/>
                <w:szCs w:val="20"/>
              </w:rPr>
              <w:t>Audit Log exported</w:t>
            </w:r>
          </w:p>
        </w:tc>
        <w:tc>
          <w:tcPr>
            <w:tcW w:w="683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C2BB298" w14:textId="77777777" w:rsidR="005F5336" w:rsidRDefault="00E2090B">
            <w:r>
              <w:rPr>
                <w:sz w:val="20"/>
                <w:szCs w:val="20"/>
              </w:rPr>
              <w:t>Exported from Due and retained on the broker's file as an evidential record of all user access events, document views, and downloads during the due diligence process.</w:t>
            </w:r>
          </w:p>
        </w:tc>
      </w:tr>
      <w:tr w:rsidR="005F5336" w14:paraId="1C2BB29D" w14:textId="77777777">
        <w:tc>
          <w:tcPr>
            <w:tcW w:w="6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C2BB29A" w14:textId="77777777" w:rsidR="005F5336" w:rsidRDefault="00E2090B">
            <w:pPr>
              <w:jc w:val="center"/>
            </w:pPr>
            <w:r>
              <w:t>☐</w:t>
            </w:r>
          </w:p>
        </w:tc>
        <w:tc>
          <w:tcPr>
            <w:tcW w:w="22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C2BB29B" w14:textId="77777777" w:rsidR="005F5336" w:rsidRDefault="00E2090B">
            <w:r>
              <w:rPr>
                <w:b/>
                <w:bCs/>
                <w:sz w:val="20"/>
                <w:szCs w:val="20"/>
              </w:rPr>
              <w:t>Bulk export of data room files</w:t>
            </w:r>
          </w:p>
        </w:tc>
        <w:tc>
          <w:tcPr>
            <w:tcW w:w="683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C2BB29C" w14:textId="77777777" w:rsidR="005F5336" w:rsidRDefault="00E2090B">
            <w:r>
              <w:rPr>
                <w:sz w:val="20"/>
                <w:szCs w:val="20"/>
              </w:rPr>
              <w:t>If the seller requires a bulk export of all files in the data room, please contact your Due Account Manager or Customer Service.</w:t>
            </w:r>
          </w:p>
        </w:tc>
      </w:tr>
    </w:tbl>
    <w:p w14:paraId="1C2BB29F" w14:textId="668608D8" w:rsidR="005F5336" w:rsidRDefault="005F5336" w:rsidP="00194746">
      <w:pPr>
        <w:pBdr>
          <w:top w:val="single" w:sz="4" w:space="6" w:color="CCCCCC"/>
        </w:pBdr>
        <w:spacing w:before="400"/>
      </w:pPr>
    </w:p>
    <w:sectPr w:rsidR="005F5336">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093622"/>
    <w:multiLevelType w:val="hybridMultilevel"/>
    <w:tmpl w:val="FDBC98DA"/>
    <w:lvl w:ilvl="0" w:tplc="53AC7C58">
      <w:start w:val="1"/>
      <w:numFmt w:val="bullet"/>
      <w:lvlText w:val="•"/>
      <w:lvlJc w:val="left"/>
      <w:pPr>
        <w:ind w:left="720" w:hanging="360"/>
      </w:pPr>
    </w:lvl>
    <w:lvl w:ilvl="1" w:tplc="E38AB3A4">
      <w:start w:val="1"/>
      <w:numFmt w:val="bullet"/>
      <w:lvlText w:val="–"/>
      <w:lvlJc w:val="left"/>
      <w:pPr>
        <w:ind w:left="1080" w:hanging="360"/>
      </w:pPr>
    </w:lvl>
    <w:lvl w:ilvl="2" w:tplc="4524D2EA">
      <w:numFmt w:val="decimal"/>
      <w:lvlText w:val=""/>
      <w:lvlJc w:val="left"/>
    </w:lvl>
    <w:lvl w:ilvl="3" w:tplc="F714604E">
      <w:numFmt w:val="decimal"/>
      <w:lvlText w:val=""/>
      <w:lvlJc w:val="left"/>
    </w:lvl>
    <w:lvl w:ilvl="4" w:tplc="1EF4F486">
      <w:numFmt w:val="decimal"/>
      <w:lvlText w:val=""/>
      <w:lvlJc w:val="left"/>
    </w:lvl>
    <w:lvl w:ilvl="5" w:tplc="3948E494">
      <w:numFmt w:val="decimal"/>
      <w:lvlText w:val=""/>
      <w:lvlJc w:val="left"/>
    </w:lvl>
    <w:lvl w:ilvl="6" w:tplc="BAD62B64">
      <w:numFmt w:val="decimal"/>
      <w:lvlText w:val=""/>
      <w:lvlJc w:val="left"/>
    </w:lvl>
    <w:lvl w:ilvl="7" w:tplc="FCFE2DF4">
      <w:numFmt w:val="decimal"/>
      <w:lvlText w:val=""/>
      <w:lvlJc w:val="left"/>
    </w:lvl>
    <w:lvl w:ilvl="8" w:tplc="483C9BF6">
      <w:numFmt w:val="decimal"/>
      <w:lvlText w:val=""/>
      <w:lvlJc w:val="left"/>
    </w:lvl>
  </w:abstractNum>
  <w:abstractNum w:abstractNumId="1" w15:restartNumberingAfterBreak="0">
    <w:nsid w:val="5361083F"/>
    <w:multiLevelType w:val="hybridMultilevel"/>
    <w:tmpl w:val="03FE8E6C"/>
    <w:lvl w:ilvl="0" w:tplc="68608FE0">
      <w:start w:val="1"/>
      <w:numFmt w:val="bullet"/>
      <w:lvlText w:val="●"/>
      <w:lvlJc w:val="left"/>
      <w:pPr>
        <w:ind w:left="720" w:hanging="360"/>
      </w:pPr>
    </w:lvl>
    <w:lvl w:ilvl="1" w:tplc="F84E80A0">
      <w:start w:val="1"/>
      <w:numFmt w:val="bullet"/>
      <w:lvlText w:val="○"/>
      <w:lvlJc w:val="left"/>
      <w:pPr>
        <w:ind w:left="1440" w:hanging="360"/>
      </w:pPr>
    </w:lvl>
    <w:lvl w:ilvl="2" w:tplc="F5D21D94">
      <w:start w:val="1"/>
      <w:numFmt w:val="bullet"/>
      <w:lvlText w:val="■"/>
      <w:lvlJc w:val="left"/>
      <w:pPr>
        <w:ind w:left="2160" w:hanging="360"/>
      </w:pPr>
    </w:lvl>
    <w:lvl w:ilvl="3" w:tplc="10C23E68">
      <w:start w:val="1"/>
      <w:numFmt w:val="bullet"/>
      <w:lvlText w:val="●"/>
      <w:lvlJc w:val="left"/>
      <w:pPr>
        <w:ind w:left="2880" w:hanging="360"/>
      </w:pPr>
    </w:lvl>
    <w:lvl w:ilvl="4" w:tplc="7B4218B0">
      <w:start w:val="1"/>
      <w:numFmt w:val="bullet"/>
      <w:lvlText w:val="○"/>
      <w:lvlJc w:val="left"/>
      <w:pPr>
        <w:ind w:left="3600" w:hanging="360"/>
      </w:pPr>
    </w:lvl>
    <w:lvl w:ilvl="5" w:tplc="83CCA332">
      <w:start w:val="1"/>
      <w:numFmt w:val="bullet"/>
      <w:lvlText w:val="■"/>
      <w:lvlJc w:val="left"/>
      <w:pPr>
        <w:ind w:left="4320" w:hanging="360"/>
      </w:pPr>
    </w:lvl>
    <w:lvl w:ilvl="6" w:tplc="38BA8B22">
      <w:start w:val="1"/>
      <w:numFmt w:val="bullet"/>
      <w:lvlText w:val="●"/>
      <w:lvlJc w:val="left"/>
      <w:pPr>
        <w:ind w:left="5040" w:hanging="360"/>
      </w:pPr>
    </w:lvl>
    <w:lvl w:ilvl="7" w:tplc="16D64E2E">
      <w:start w:val="1"/>
      <w:numFmt w:val="bullet"/>
      <w:lvlText w:val="●"/>
      <w:lvlJc w:val="left"/>
      <w:pPr>
        <w:ind w:left="5760" w:hanging="360"/>
      </w:pPr>
    </w:lvl>
    <w:lvl w:ilvl="8" w:tplc="C920828E">
      <w:start w:val="1"/>
      <w:numFmt w:val="bullet"/>
      <w:lvlText w:val="●"/>
      <w:lvlJc w:val="left"/>
      <w:pPr>
        <w:ind w:left="6480" w:hanging="360"/>
      </w:pPr>
    </w:lvl>
  </w:abstractNum>
  <w:num w:numId="1" w16cid:durableId="1302615596">
    <w:abstractNumId w:val="1"/>
    <w:lvlOverride w:ilvl="0">
      <w:startOverride w:val="1"/>
    </w:lvlOverride>
  </w:num>
  <w:num w:numId="2" w16cid:durableId="88278616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336"/>
    <w:rsid w:val="00194746"/>
    <w:rsid w:val="002E2A6D"/>
    <w:rsid w:val="00497D54"/>
    <w:rsid w:val="005F5336"/>
    <w:rsid w:val="00770986"/>
    <w:rsid w:val="00E2090B"/>
    <w:rsid w:val="00F647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BB244"/>
  <w15:docId w15:val="{2398FF79-7355-4219-8099-D0E9A7A01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40" w:after="200"/>
      <w:outlineLvl w:val="0"/>
    </w:pPr>
    <w:rPr>
      <w:b/>
      <w:bCs/>
      <w:color w:val="1E3A5F"/>
      <w:sz w:val="32"/>
      <w:szCs w:val="32"/>
    </w:rPr>
  </w:style>
  <w:style w:type="paragraph" w:styleId="Heading2">
    <w:name w:val="heading 2"/>
    <w:uiPriority w:val="9"/>
    <w:unhideWhenUsed/>
    <w:qFormat/>
    <w:pPr>
      <w:spacing w:before="200" w:after="140"/>
      <w:outlineLvl w:val="1"/>
    </w:pPr>
    <w:rPr>
      <w:b/>
      <w:bCs/>
      <w:color w:val="1E3A5F"/>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Revision">
    <w:name w:val="Revision"/>
    <w:hidden/>
    <w:uiPriority w:val="99"/>
    <w:semiHidden/>
    <w:rsid w:val="00497D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1193</Words>
  <Characters>6802</Characters>
  <Application>Microsoft Office Word</Application>
  <DocSecurity>0</DocSecurity>
  <Lines>56</Lines>
  <Paragraphs>15</Paragraphs>
  <ScaleCrop>false</ScaleCrop>
  <Company/>
  <LinksUpToDate>false</LinksUpToDate>
  <CharactersWithSpaces>7980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Julia Scott (Due)</cp:lastModifiedBy>
  <cp:revision>4</cp:revision>
  <dcterms:created xsi:type="dcterms:W3CDTF">2026-05-12T02:43:00Z</dcterms:created>
  <dcterms:modified xsi:type="dcterms:W3CDTF">2026-05-14T07:31:00Z</dcterms:modified>
</cp:coreProperties>
</file>