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BBF59" w14:textId="7912FD5E" w:rsidR="00FE7663" w:rsidRDefault="001679C0">
      <w:pPr>
        <w:pStyle w:val="Heading1"/>
      </w:pPr>
      <w:r>
        <w:t>6</w:t>
      </w:r>
      <w:r w:rsidR="000B48AF">
        <w:t xml:space="preserve">. </w:t>
      </w:r>
      <w:r w:rsidR="00FE7663">
        <w:t xml:space="preserve">Buyer due diligence </w:t>
      </w:r>
    </w:p>
    <w:p w14:paraId="4B907D70" w14:textId="77777777" w:rsidR="00EE5D60" w:rsidRDefault="00EE5D60" w:rsidP="00EE5D60">
      <w:pPr>
        <w:pStyle w:val="Heading2"/>
      </w:pPr>
      <w:r>
        <w:t>6.1  Review the Data Room</w:t>
      </w:r>
    </w:p>
    <w:p w14:paraId="7E96244D" w14:textId="77777777" w:rsidR="00EE5D60" w:rsidRDefault="00EE5D60" w:rsidP="00EE5D60">
      <w:pPr>
        <w:pStyle w:val="Heading2"/>
      </w:pPr>
      <w:r>
        <w:t>6.2  Invite Buy-side Users to Project</w:t>
      </w:r>
    </w:p>
    <w:p w14:paraId="15A4ED81" w14:textId="77777777" w:rsidR="00EE5D60" w:rsidRDefault="00EE5D60" w:rsidP="00EE5D60">
      <w:pPr>
        <w:pStyle w:val="Heading2"/>
      </w:pPr>
      <w:r>
        <w:t>6.3  Update Access Management for Buy-side Users</w:t>
      </w:r>
    </w:p>
    <w:p w14:paraId="468E82C4" w14:textId="77777777" w:rsidR="00E202A6" w:rsidRDefault="00E202A6" w:rsidP="00E202A6">
      <w:pPr>
        <w:pStyle w:val="Heading2"/>
      </w:pPr>
      <w:r>
        <w:t>6.5  How to Download Files and Folders from the Data Room</w:t>
      </w:r>
    </w:p>
    <w:p w14:paraId="18673CB4" w14:textId="77777777" w:rsidR="00EE5D60" w:rsidRDefault="00EE5D60">
      <w:pPr>
        <w:pStyle w:val="Heading1"/>
      </w:pPr>
    </w:p>
    <w:p w14:paraId="71829F8B" w14:textId="77777777" w:rsidR="00CC49EC" w:rsidRDefault="00CC49EC">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12"/>
        <w:gridCol w:w="3213"/>
        <w:gridCol w:w="3213"/>
      </w:tblGrid>
      <w:tr w:rsidR="00CC49EC" w14:paraId="71829F92" w14:textId="77777777">
        <w:tc>
          <w:tcPr>
            <w:tcW w:w="3212" w:type="dxa"/>
            <w:tcBorders>
              <w:top w:val="single" w:sz="1" w:space="0" w:color="1E3A5F"/>
              <w:left w:val="single" w:sz="1" w:space="0" w:color="1E3A5F"/>
              <w:bottom w:val="single" w:sz="1" w:space="0" w:color="1E3A5F"/>
              <w:right w:val="single" w:sz="1" w:space="0" w:color="1E3A5F"/>
            </w:tcBorders>
            <w:shd w:val="clear" w:color="auto" w:fill="D5E8F0"/>
            <w:tcMar>
              <w:top w:w="100" w:type="dxa"/>
              <w:left w:w="150" w:type="dxa"/>
              <w:bottom w:w="100" w:type="dxa"/>
              <w:right w:w="150" w:type="dxa"/>
            </w:tcMar>
          </w:tcPr>
          <w:p w14:paraId="71829F8C" w14:textId="77777777" w:rsidR="00CC49EC" w:rsidRDefault="00000000">
            <w:pPr>
              <w:spacing w:after="40"/>
            </w:pPr>
            <w:r>
              <w:rPr>
                <w:b/>
                <w:bCs/>
                <w:color w:val="1E3A5F"/>
                <w:sz w:val="18"/>
                <w:szCs w:val="18"/>
              </w:rPr>
              <w:t>Persona</w:t>
            </w:r>
          </w:p>
          <w:p w14:paraId="71829F8D" w14:textId="77777777" w:rsidR="00CC49EC" w:rsidRDefault="00000000">
            <w:r>
              <w:rPr>
                <w:sz w:val="20"/>
                <w:szCs w:val="20"/>
              </w:rPr>
              <w:t>Jane Doe — Administrator overseeing all business sales for the business broker</w:t>
            </w:r>
          </w:p>
        </w:tc>
        <w:tc>
          <w:tcPr>
            <w:tcW w:w="3212" w:type="dxa"/>
            <w:tcBorders>
              <w:top w:val="single" w:sz="1" w:space="0" w:color="1E3A5F"/>
              <w:left w:val="single" w:sz="1" w:space="0" w:color="1E3A5F"/>
              <w:bottom w:val="single" w:sz="1" w:space="0" w:color="1E3A5F"/>
              <w:right w:val="single" w:sz="1" w:space="0" w:color="1E3A5F"/>
            </w:tcBorders>
            <w:shd w:val="clear" w:color="auto" w:fill="D5E8F0"/>
            <w:tcMar>
              <w:top w:w="100" w:type="dxa"/>
              <w:left w:w="150" w:type="dxa"/>
              <w:bottom w:w="100" w:type="dxa"/>
              <w:right w:w="150" w:type="dxa"/>
            </w:tcMar>
          </w:tcPr>
          <w:p w14:paraId="71829F8E" w14:textId="77777777" w:rsidR="00CC49EC" w:rsidRDefault="00000000">
            <w:pPr>
              <w:spacing w:after="40"/>
            </w:pPr>
            <w:r>
              <w:rPr>
                <w:b/>
                <w:bCs/>
                <w:color w:val="1E3A5F"/>
                <w:sz w:val="18"/>
                <w:szCs w:val="18"/>
              </w:rPr>
              <w:t>Invites</w:t>
            </w:r>
          </w:p>
          <w:p w14:paraId="71829F8F" w14:textId="77777777" w:rsidR="00CC49EC" w:rsidRDefault="00000000">
            <w:r>
              <w:rPr>
                <w:sz w:val="20"/>
                <w:szCs w:val="20"/>
              </w:rPr>
              <w:t>Hartwell Industrial Group buy-side team</w:t>
            </w:r>
          </w:p>
        </w:tc>
        <w:tc>
          <w:tcPr>
            <w:tcW w:w="3212" w:type="dxa"/>
            <w:tcBorders>
              <w:top w:val="single" w:sz="1" w:space="0" w:color="1E3A5F"/>
              <w:left w:val="single" w:sz="1" w:space="0" w:color="1E3A5F"/>
              <w:bottom w:val="single" w:sz="1" w:space="0" w:color="1E3A5F"/>
              <w:right w:val="single" w:sz="1" w:space="0" w:color="1E3A5F"/>
            </w:tcBorders>
            <w:shd w:val="clear" w:color="auto" w:fill="D5E8F0"/>
            <w:tcMar>
              <w:top w:w="100" w:type="dxa"/>
              <w:left w:w="150" w:type="dxa"/>
              <w:bottom w:w="100" w:type="dxa"/>
              <w:right w:w="150" w:type="dxa"/>
            </w:tcMar>
          </w:tcPr>
          <w:p w14:paraId="71829F90" w14:textId="77777777" w:rsidR="00CC49EC" w:rsidRDefault="00000000">
            <w:pPr>
              <w:spacing w:after="40"/>
            </w:pPr>
            <w:r>
              <w:rPr>
                <w:b/>
                <w:bCs/>
                <w:color w:val="1E3A5F"/>
                <w:sz w:val="18"/>
                <w:szCs w:val="18"/>
              </w:rPr>
              <w:t>Assigned Project Role</w:t>
            </w:r>
          </w:p>
          <w:p w14:paraId="71829F91" w14:textId="77777777" w:rsidR="00CC49EC" w:rsidRDefault="00000000">
            <w:r>
              <w:rPr>
                <w:sz w:val="20"/>
                <w:szCs w:val="20"/>
              </w:rPr>
              <w:t>Various buy-side roles</w:t>
            </w:r>
          </w:p>
        </w:tc>
      </w:tr>
    </w:tbl>
    <w:p w14:paraId="71829F93" w14:textId="77777777" w:rsidR="00CC49EC" w:rsidRDefault="00CC49EC">
      <w:pPr>
        <w:spacing w:after="80"/>
      </w:pPr>
    </w:p>
    <w:p w14:paraId="71829F94" w14:textId="77777777" w:rsidR="00CC49EC" w:rsidRDefault="00000000">
      <w:pPr>
        <w:spacing w:before="60" w:after="80"/>
      </w:pPr>
      <w:r>
        <w:t>With the data room populated and all key RFIs completed by the sell-side team, the broker Jane must now prepare the data room for buyer access. This is a critical gatekeeping step — buyers should never be given access to the raw, uncontrolled data room. Access must be staged and deliberate.</w:t>
      </w:r>
    </w:p>
    <w:p w14:paraId="71829F95" w14:textId="77777777" w:rsidR="00CC49EC" w:rsidRDefault="00CC49EC">
      <w:pPr>
        <w:spacing w:after="80"/>
      </w:pPr>
    </w:p>
    <w:p w14:paraId="71829F96" w14:textId="77DBE5C2" w:rsidR="00CC49EC" w:rsidRDefault="000B48AF">
      <w:pPr>
        <w:pStyle w:val="Heading2"/>
      </w:pPr>
      <w:r>
        <w:t>6.1  Review the Data Room</w:t>
      </w:r>
    </w:p>
    <w:p w14:paraId="71829F97" w14:textId="77777777" w:rsidR="00CC49EC" w:rsidRDefault="00000000">
      <w:pPr>
        <w:spacing w:before="60" w:after="80"/>
      </w:pPr>
      <w:r>
        <w:t xml:space="preserve">Before anyone from the buy-side is added, Jane conducts a final review of the data room to ensure it is complete, </w:t>
      </w:r>
      <w:proofErr w:type="spellStart"/>
      <w:r>
        <w:t>organised</w:t>
      </w:r>
      <w:proofErr w:type="spellEnd"/>
      <w:r>
        <w:t>, and appropriate for disclosure.</w:t>
      </w:r>
    </w:p>
    <w:p w14:paraId="71829F98" w14:textId="77777777" w:rsidR="00CC49EC" w:rsidRDefault="00000000">
      <w:pPr>
        <w:pStyle w:val="ListParagraph"/>
        <w:numPr>
          <w:ilvl w:val="0"/>
          <w:numId w:val="2"/>
        </w:numPr>
        <w:spacing w:before="40" w:after="60"/>
      </w:pPr>
      <w:r>
        <w:t>Review all folders and confirm documents are in the correct locations.</w:t>
      </w:r>
    </w:p>
    <w:p w14:paraId="71829F99" w14:textId="77777777" w:rsidR="00CC49EC" w:rsidRDefault="00000000">
      <w:pPr>
        <w:pStyle w:val="ListParagraph"/>
        <w:numPr>
          <w:ilvl w:val="0"/>
          <w:numId w:val="2"/>
        </w:numPr>
        <w:spacing w:before="40" w:after="60"/>
      </w:pPr>
      <w:r>
        <w:t>Check that no sensitive internal working documents (e.g. broker fee letters, internal valuations) are inadvertently included.</w:t>
      </w:r>
    </w:p>
    <w:p w14:paraId="71829F9A" w14:textId="77777777" w:rsidR="00CC49EC" w:rsidRDefault="00000000">
      <w:pPr>
        <w:pStyle w:val="ListParagraph"/>
        <w:numPr>
          <w:ilvl w:val="0"/>
          <w:numId w:val="2"/>
        </w:numPr>
        <w:spacing w:before="40" w:after="60"/>
      </w:pPr>
      <w:r>
        <w:t>Confirm all uploaded documents are final, signed versions — not drafts.</w:t>
      </w:r>
    </w:p>
    <w:p w14:paraId="71829F9B" w14:textId="77777777" w:rsidR="00CC49EC" w:rsidRDefault="00000000">
      <w:pPr>
        <w:pStyle w:val="ListParagraph"/>
        <w:numPr>
          <w:ilvl w:val="0"/>
          <w:numId w:val="2"/>
        </w:numPr>
        <w:spacing w:before="40" w:after="60"/>
      </w:pPr>
      <w:r>
        <w:t>Check the RFI completion status — outstanding RFIs should either be resolved or flagged as known gaps with an explanation to the buyer.</w:t>
      </w:r>
    </w:p>
    <w:p w14:paraId="71829F9C" w14:textId="77777777" w:rsidR="00CC49EC" w:rsidRDefault="00CC49EC">
      <w:pPr>
        <w:spacing w:after="80"/>
      </w:pPr>
    </w:p>
    <w:p w14:paraId="71829F9D" w14:textId="4A0A4600" w:rsidR="00CC49EC" w:rsidRDefault="000B48AF">
      <w:pPr>
        <w:pStyle w:val="Heading2"/>
      </w:pPr>
      <w:r>
        <w:t>6.2  Invite Buy-side Users to Project</w:t>
      </w:r>
    </w:p>
    <w:p w14:paraId="71829F9E" w14:textId="77777777" w:rsidR="00CC49EC" w:rsidRDefault="00000000">
      <w:pPr>
        <w:pStyle w:val="ListParagraph"/>
        <w:numPr>
          <w:ilvl w:val="0"/>
          <w:numId w:val="2"/>
        </w:numPr>
        <w:spacing w:before="40" w:after="60"/>
      </w:pPr>
      <w:r>
        <w:t>Ask the buy-side representative to complete the required checklist so you have the required information.</w:t>
      </w:r>
    </w:p>
    <w:p w14:paraId="71829F9F" w14:textId="77777777" w:rsidR="00CC49EC" w:rsidRDefault="00000000">
      <w:pPr>
        <w:pStyle w:val="ListParagraph"/>
        <w:numPr>
          <w:ilvl w:val="0"/>
          <w:numId w:val="2"/>
        </w:numPr>
        <w:spacing w:before="40" w:after="60"/>
      </w:pPr>
      <w:r>
        <w:t xml:space="preserve">Download the checklist: </w:t>
      </w:r>
      <w:hyperlink r:id="rId6" w:history="1">
        <w:r w:rsidR="00CC49EC">
          <w:rPr>
            <w:color w:val="1E6FA5"/>
            <w:u w:val="single"/>
          </w:rPr>
          <w:t>Click here</w:t>
        </w:r>
      </w:hyperlink>
    </w:p>
    <w:p w14:paraId="71829FA0" w14:textId="77777777" w:rsidR="00CC49EC" w:rsidRDefault="00000000">
      <w:pPr>
        <w:pStyle w:val="ListParagraph"/>
        <w:numPr>
          <w:ilvl w:val="0"/>
          <w:numId w:val="2"/>
        </w:numPr>
        <w:spacing w:before="40" w:after="60"/>
      </w:pPr>
      <w:r>
        <w:t xml:space="preserve">After receiving the completed checklist from the buy-side representative, add the buy-side users to the </w:t>
      </w:r>
      <w:proofErr w:type="spellStart"/>
      <w:r>
        <w:t>Organisation</w:t>
      </w:r>
      <w:proofErr w:type="spellEnd"/>
      <w:r>
        <w:t xml:space="preserve"> and then to the Project, assigning them an appropriate </w:t>
      </w:r>
      <w:proofErr w:type="spellStart"/>
      <w:r>
        <w:t>Organisational</w:t>
      </w:r>
      <w:proofErr w:type="spellEnd"/>
      <w:r>
        <w:t xml:space="preserve"> Role and Project Role.</w:t>
      </w:r>
    </w:p>
    <w:p w14:paraId="71829FA1" w14:textId="77777777" w:rsidR="00CC49EC" w:rsidRDefault="00CC49EC">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C49EC" w14:paraId="71829FA4" w14:textId="77777777">
        <w:tc>
          <w:tcPr>
            <w:tcW w:w="9638" w:type="dxa"/>
            <w:tcBorders>
              <w:top w:val="single" w:sz="1" w:space="0" w:color="F9A825"/>
              <w:left w:val="single" w:sz="1" w:space="0" w:color="F9A825"/>
              <w:bottom w:val="single" w:sz="1" w:space="0" w:color="F9A825"/>
              <w:right w:val="single" w:sz="1" w:space="0" w:color="F9A825"/>
            </w:tcBorders>
            <w:shd w:val="clear" w:color="auto" w:fill="FFFDE7"/>
            <w:tcMar>
              <w:top w:w="120" w:type="dxa"/>
              <w:left w:w="180" w:type="dxa"/>
              <w:bottom w:w="120" w:type="dxa"/>
              <w:right w:w="180" w:type="dxa"/>
            </w:tcMar>
          </w:tcPr>
          <w:p w14:paraId="71829FA2" w14:textId="77777777" w:rsidR="00CC49EC" w:rsidRDefault="00000000">
            <w:r>
              <w:rPr>
                <w:b/>
                <w:bCs/>
                <w:sz w:val="20"/>
                <w:szCs w:val="20"/>
              </w:rPr>
              <w:t xml:space="preserve">💡  Tip — </w:t>
            </w:r>
            <w:proofErr w:type="spellStart"/>
            <w:r>
              <w:rPr>
                <w:b/>
                <w:bCs/>
                <w:sz w:val="20"/>
                <w:szCs w:val="20"/>
              </w:rPr>
              <w:t>Organisation</w:t>
            </w:r>
            <w:proofErr w:type="spellEnd"/>
            <w:r>
              <w:rPr>
                <w:b/>
                <w:bCs/>
                <w:sz w:val="20"/>
                <w:szCs w:val="20"/>
              </w:rPr>
              <w:t xml:space="preserve"> Role and Project Role</w:t>
            </w:r>
          </w:p>
          <w:p w14:paraId="71829FA3" w14:textId="77777777" w:rsidR="00CC49EC" w:rsidRDefault="00000000">
            <w:pPr>
              <w:spacing w:before="40"/>
            </w:pPr>
            <w:r>
              <w:rPr>
                <w:sz w:val="20"/>
                <w:szCs w:val="20"/>
              </w:rPr>
              <w:t xml:space="preserve">Buy-side users should generally be added to the </w:t>
            </w:r>
            <w:proofErr w:type="spellStart"/>
            <w:r>
              <w:rPr>
                <w:sz w:val="20"/>
                <w:szCs w:val="20"/>
              </w:rPr>
              <w:t>Organisation</w:t>
            </w:r>
            <w:proofErr w:type="spellEnd"/>
            <w:r>
              <w:rPr>
                <w:sz w:val="20"/>
                <w:szCs w:val="20"/>
              </w:rPr>
              <w:t xml:space="preserve"> and assigned </w:t>
            </w:r>
            <w:proofErr w:type="spellStart"/>
            <w:r>
              <w:rPr>
                <w:sz w:val="20"/>
                <w:szCs w:val="20"/>
              </w:rPr>
              <w:t>Organisation</w:t>
            </w:r>
            <w:proofErr w:type="spellEnd"/>
            <w:r>
              <w:rPr>
                <w:sz w:val="20"/>
                <w:szCs w:val="20"/>
              </w:rPr>
              <w:t xml:space="preserve"> Role: Client and Project Role: Client – Buy-side, in which case the user has no access to any of the data room unless given permission using Access Management (see Step 6.3 below).</w:t>
            </w:r>
          </w:p>
        </w:tc>
      </w:tr>
    </w:tbl>
    <w:p w14:paraId="71829FA5" w14:textId="77777777" w:rsidR="00CC49EC" w:rsidRDefault="00CC49EC">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C49EC" w14:paraId="71829FA8" w14:textId="77777777">
        <w:tc>
          <w:tcPr>
            <w:tcW w:w="9638" w:type="dxa"/>
            <w:tcBorders>
              <w:top w:val="single" w:sz="1" w:space="0" w:color="F9A825"/>
              <w:left w:val="single" w:sz="1" w:space="0" w:color="F9A825"/>
              <w:bottom w:val="single" w:sz="1" w:space="0" w:color="F9A825"/>
              <w:right w:val="single" w:sz="1" w:space="0" w:color="F9A825"/>
            </w:tcBorders>
            <w:shd w:val="clear" w:color="auto" w:fill="FFFDE7"/>
            <w:tcMar>
              <w:top w:w="120" w:type="dxa"/>
              <w:left w:w="180" w:type="dxa"/>
              <w:bottom w:w="120" w:type="dxa"/>
              <w:right w:w="180" w:type="dxa"/>
            </w:tcMar>
          </w:tcPr>
          <w:p w14:paraId="71829FA6" w14:textId="77777777" w:rsidR="00CC49EC" w:rsidRDefault="00000000">
            <w:r>
              <w:rPr>
                <w:b/>
                <w:bCs/>
                <w:sz w:val="20"/>
                <w:szCs w:val="20"/>
              </w:rPr>
              <w:t>💡  Supplementary User Guide</w:t>
            </w:r>
          </w:p>
          <w:p w14:paraId="71829FA7" w14:textId="77777777" w:rsidR="00CC49EC" w:rsidRDefault="00000000">
            <w:pPr>
              <w:spacing w:before="40"/>
            </w:pPr>
            <w:r>
              <w:rPr>
                <w:sz w:val="20"/>
                <w:szCs w:val="20"/>
              </w:rPr>
              <w:lastRenderedPageBreak/>
              <w:t xml:space="preserve">To add buy-side users to your </w:t>
            </w:r>
            <w:proofErr w:type="spellStart"/>
            <w:r>
              <w:rPr>
                <w:sz w:val="20"/>
                <w:szCs w:val="20"/>
              </w:rPr>
              <w:t>organisation</w:t>
            </w:r>
            <w:proofErr w:type="spellEnd"/>
            <w:r>
              <w:rPr>
                <w:sz w:val="20"/>
                <w:szCs w:val="20"/>
              </w:rPr>
              <w:t xml:space="preserve">, refer to the supplementary user guides on "How to Invite Users to Your </w:t>
            </w:r>
            <w:proofErr w:type="spellStart"/>
            <w:r>
              <w:rPr>
                <w:sz w:val="20"/>
                <w:szCs w:val="20"/>
              </w:rPr>
              <w:t>Organisation</w:t>
            </w:r>
            <w:proofErr w:type="spellEnd"/>
            <w:r>
              <w:rPr>
                <w:sz w:val="20"/>
                <w:szCs w:val="20"/>
              </w:rPr>
              <w:t xml:space="preserve"> and Assign them an </w:t>
            </w:r>
            <w:proofErr w:type="spellStart"/>
            <w:r>
              <w:rPr>
                <w:sz w:val="20"/>
                <w:szCs w:val="20"/>
              </w:rPr>
              <w:t>Organisation</w:t>
            </w:r>
            <w:proofErr w:type="spellEnd"/>
            <w:r>
              <w:rPr>
                <w:sz w:val="20"/>
                <w:szCs w:val="20"/>
              </w:rPr>
              <w:t xml:space="preserve"> Role" and "How to Invite Users to Your Project and Assign them a Project Role".</w:t>
            </w:r>
          </w:p>
        </w:tc>
      </w:tr>
    </w:tbl>
    <w:p w14:paraId="71829FA9" w14:textId="77777777" w:rsidR="00CC49EC" w:rsidRDefault="00CC49EC">
      <w:pPr>
        <w:spacing w:after="80"/>
      </w:pPr>
    </w:p>
    <w:p w14:paraId="71829FAA" w14:textId="072C5807" w:rsidR="00CC49EC" w:rsidRDefault="000B48AF">
      <w:pPr>
        <w:pStyle w:val="Heading2"/>
      </w:pPr>
      <w:r>
        <w:t>6.3  Update Access Management for Buy-side Users</w:t>
      </w:r>
    </w:p>
    <w:p w14:paraId="71829FAB" w14:textId="77777777" w:rsidR="00CC49EC" w:rsidRDefault="00000000">
      <w:pPr>
        <w:spacing w:before="60" w:after="80"/>
      </w:pPr>
      <w:r>
        <w:t>Default access for buy-side users added as a Client – Buy-side is they cannot access any files or folders. Provide access to buy-side users using Access Management by following these steps:</w:t>
      </w:r>
    </w:p>
    <w:p w14:paraId="71829FAC" w14:textId="77777777" w:rsidR="00CC49EC" w:rsidRDefault="00000000">
      <w:pPr>
        <w:pStyle w:val="ListParagraph"/>
        <w:numPr>
          <w:ilvl w:val="0"/>
          <w:numId w:val="2"/>
        </w:numPr>
        <w:spacing w:before="40" w:after="60"/>
      </w:pPr>
      <w:r>
        <w:t>After adding the Client – Buy-side, click Go to Data Room where you will give the buy-side user access to view folders and files.</w:t>
      </w:r>
    </w:p>
    <w:p w14:paraId="71829FAD" w14:textId="77777777" w:rsidR="00CC49EC" w:rsidRDefault="00000000">
      <w:pPr>
        <w:pStyle w:val="ListParagraph"/>
        <w:numPr>
          <w:ilvl w:val="0"/>
          <w:numId w:val="2"/>
        </w:numPr>
        <w:spacing w:before="40" w:after="60"/>
      </w:pPr>
      <w:r>
        <w:t>To give access to folders (and nested folders within), in the Data Room, click the Manage Access button next to the folder you want to give access to.</w:t>
      </w:r>
    </w:p>
    <w:p w14:paraId="71829FAE" w14:textId="77777777" w:rsidR="00CC49EC" w:rsidRDefault="00000000">
      <w:pPr>
        <w:pStyle w:val="ListParagraph"/>
        <w:numPr>
          <w:ilvl w:val="0"/>
          <w:numId w:val="2"/>
        </w:numPr>
        <w:spacing w:before="40" w:after="60"/>
      </w:pPr>
      <w:r>
        <w:t>On the pop-up screen, click Add People. Select 1 or more users that you want to give access to.</w:t>
      </w:r>
    </w:p>
    <w:p w14:paraId="71829FAF" w14:textId="77777777" w:rsidR="00CC49EC" w:rsidRDefault="00000000">
      <w:pPr>
        <w:pStyle w:val="ListParagraph"/>
        <w:numPr>
          <w:ilvl w:val="0"/>
          <w:numId w:val="2"/>
        </w:numPr>
        <w:spacing w:before="40" w:after="60"/>
      </w:pPr>
      <w:r>
        <w:t>Repeat this process for each folder you want to give the buyer access to.</w:t>
      </w:r>
    </w:p>
    <w:p w14:paraId="71829FB0" w14:textId="77777777" w:rsidR="00CC49EC" w:rsidRDefault="00000000">
      <w:pPr>
        <w:pStyle w:val="ListParagraph"/>
        <w:numPr>
          <w:ilvl w:val="0"/>
          <w:numId w:val="2"/>
        </w:numPr>
        <w:spacing w:before="40" w:after="60"/>
      </w:pPr>
      <w:r>
        <w:t>To give access to a particular document(s) within a folder, navigate to the document(s) and click Manage Access and follow the same steps.</w:t>
      </w:r>
    </w:p>
    <w:p w14:paraId="71829FB1" w14:textId="77777777" w:rsidR="00CC49EC" w:rsidRDefault="00CC49EC">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C49EC" w14:paraId="71829FB4" w14:textId="77777777">
        <w:tc>
          <w:tcPr>
            <w:tcW w:w="9638" w:type="dxa"/>
            <w:tcBorders>
              <w:top w:val="single" w:sz="1" w:space="0" w:color="F9A825"/>
              <w:left w:val="single" w:sz="1" w:space="0" w:color="F9A825"/>
              <w:bottom w:val="single" w:sz="1" w:space="0" w:color="F9A825"/>
              <w:right w:val="single" w:sz="1" w:space="0" w:color="F9A825"/>
            </w:tcBorders>
            <w:shd w:val="clear" w:color="auto" w:fill="FFFDE7"/>
            <w:tcMar>
              <w:top w:w="120" w:type="dxa"/>
              <w:left w:w="180" w:type="dxa"/>
              <w:bottom w:w="120" w:type="dxa"/>
              <w:right w:w="180" w:type="dxa"/>
            </w:tcMar>
          </w:tcPr>
          <w:p w14:paraId="71829FB2" w14:textId="77777777" w:rsidR="00CC49EC" w:rsidRDefault="00000000">
            <w:r>
              <w:rPr>
                <w:b/>
                <w:bCs/>
                <w:sz w:val="20"/>
                <w:szCs w:val="20"/>
              </w:rPr>
              <w:t>💡  Supplementary User Guide</w:t>
            </w:r>
          </w:p>
          <w:p w14:paraId="71829FB3" w14:textId="77777777" w:rsidR="00CC49EC" w:rsidRDefault="00000000">
            <w:pPr>
              <w:spacing w:before="40"/>
            </w:pPr>
            <w:r>
              <w:rPr>
                <w:sz w:val="20"/>
                <w:szCs w:val="20"/>
              </w:rPr>
              <w:t>Another way to give access to the Client – Buy-side is to "assign" documents to them. Refer to the supplementary user guide on how to assign documents to project users.</w:t>
            </w:r>
          </w:p>
        </w:tc>
      </w:tr>
    </w:tbl>
    <w:p w14:paraId="71829FB5" w14:textId="77777777" w:rsidR="00CC49EC" w:rsidRDefault="00CC49EC">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C49EC" w14:paraId="71829FB9" w14:textId="77777777">
        <w:tc>
          <w:tcPr>
            <w:tcW w:w="9638" w:type="dxa"/>
            <w:tcBorders>
              <w:top w:val="single" w:sz="1" w:space="0" w:color="F9A825"/>
              <w:left w:val="single" w:sz="1" w:space="0" w:color="F9A825"/>
              <w:bottom w:val="single" w:sz="1" w:space="0" w:color="F9A825"/>
              <w:right w:val="single" w:sz="1" w:space="0" w:color="F9A825"/>
            </w:tcBorders>
            <w:shd w:val="clear" w:color="auto" w:fill="FFFDE7"/>
            <w:tcMar>
              <w:top w:w="120" w:type="dxa"/>
              <w:left w:w="180" w:type="dxa"/>
              <w:bottom w:w="120" w:type="dxa"/>
              <w:right w:w="180" w:type="dxa"/>
            </w:tcMar>
          </w:tcPr>
          <w:p w14:paraId="71829FB6" w14:textId="77777777" w:rsidR="00CC49EC" w:rsidRDefault="00000000">
            <w:r>
              <w:rPr>
                <w:b/>
                <w:bCs/>
                <w:sz w:val="20"/>
                <w:szCs w:val="20"/>
              </w:rPr>
              <w:t>💡  Tip — Staged Disclosure Is Standard Practice</w:t>
            </w:r>
          </w:p>
          <w:p w14:paraId="71829FB7" w14:textId="77777777" w:rsidR="00CC49EC" w:rsidRDefault="00000000">
            <w:pPr>
              <w:spacing w:before="40"/>
            </w:pPr>
            <w:r>
              <w:rPr>
                <w:sz w:val="20"/>
                <w:szCs w:val="20"/>
              </w:rPr>
              <w:t>You do not need to give buyers access to everything on day one. A common approach is to open commercial and operational folders first, withholding sensitive items like customer pricing, key employee details, and IP until later in the process.</w:t>
            </w:r>
          </w:p>
          <w:p w14:paraId="71829FB8" w14:textId="77777777" w:rsidR="00CC49EC" w:rsidRDefault="00000000">
            <w:pPr>
              <w:spacing w:before="40"/>
            </w:pPr>
            <w:r>
              <w:rPr>
                <w:sz w:val="20"/>
                <w:szCs w:val="20"/>
              </w:rPr>
              <w:t>Due allows you to control access at the folder and document level — use this to manage what each buyer can see at each stage. Document your disclosure decisions in your file notes in case of any post-sale disputes about what was made available and when.</w:t>
            </w:r>
          </w:p>
        </w:tc>
      </w:tr>
    </w:tbl>
    <w:p w14:paraId="71829FBA" w14:textId="77777777" w:rsidR="00CC49EC" w:rsidRDefault="00CC49EC">
      <w:pPr>
        <w:spacing w:after="80"/>
      </w:pPr>
    </w:p>
    <w:p w14:paraId="71829FBB" w14:textId="4B39B8D8" w:rsidR="00CC49EC" w:rsidRDefault="000B48AF">
      <w:pPr>
        <w:pStyle w:val="Heading2"/>
      </w:pPr>
      <w:r>
        <w:t xml:space="preserve">6.4  </w:t>
      </w:r>
      <w:proofErr w:type="spellStart"/>
      <w:r>
        <w:t>Customise</w:t>
      </w:r>
      <w:proofErr w:type="spellEnd"/>
      <w:r>
        <w:t xml:space="preserve"> Access Levels for Project Role</w:t>
      </w:r>
    </w:p>
    <w:p w14:paraId="71829FBC" w14:textId="77777777" w:rsidR="00CC49EC" w:rsidRDefault="00000000">
      <w:pPr>
        <w:spacing w:before="60" w:after="80"/>
      </w:pPr>
      <w:r>
        <w:t>The default Access Level for all buy-side users is View with permission to view assigned or shared documents.</w:t>
      </w:r>
    </w:p>
    <w:p w14:paraId="71829FBD" w14:textId="77777777" w:rsidR="00CC49EC" w:rsidRDefault="00000000">
      <w:pPr>
        <w:pStyle w:val="ListParagraph"/>
        <w:numPr>
          <w:ilvl w:val="0"/>
          <w:numId w:val="2"/>
        </w:numPr>
        <w:spacing w:before="40" w:after="60"/>
      </w:pPr>
      <w:r>
        <w:t>To upgrade the buy-side users to have additional permissions such as download access, go to project Settings and click Access Levels and then toggle on Buy-side.</w:t>
      </w:r>
    </w:p>
    <w:p w14:paraId="71829FBE" w14:textId="77777777" w:rsidR="00CC49EC" w:rsidRDefault="00000000">
      <w:pPr>
        <w:pStyle w:val="ListParagraph"/>
        <w:numPr>
          <w:ilvl w:val="0"/>
          <w:numId w:val="2"/>
        </w:numPr>
        <w:spacing w:before="40" w:after="60"/>
      </w:pPr>
      <w:r>
        <w:t>Upgrade permissions for a specific buy-side role by clicking on View, Edit or Full Access (as the case may be). Then click Save Changes. This will change the default Access Level for all users in that category. E.g. if you change a Client – Buy-side to Edit, then all Client – Buy-side users will have the Edit permissions.</w:t>
      </w:r>
    </w:p>
    <w:p w14:paraId="71829FBF" w14:textId="77777777" w:rsidR="00CC49EC" w:rsidRDefault="00CC49EC">
      <w:pPr>
        <w:spacing w:after="80"/>
      </w:pPr>
    </w:p>
    <w:p w14:paraId="71829FC0" w14:textId="00750812" w:rsidR="00CC49EC" w:rsidRDefault="000B48AF">
      <w:pPr>
        <w:pStyle w:val="Heading2"/>
      </w:pPr>
      <w:r>
        <w:t>6.5  How to Download Files and Folders from the Data Room</w:t>
      </w:r>
    </w:p>
    <w:p w14:paraId="71829FC1" w14:textId="77777777" w:rsidR="00CC49EC" w:rsidRDefault="00000000">
      <w:pPr>
        <w:spacing w:before="60" w:after="80"/>
      </w:pPr>
      <w:r>
        <w:t>A buyer conducting due diligence may want to download documents or folders of documents from the data room so they can share documents with relevant specialist document reviewers.</w:t>
      </w:r>
    </w:p>
    <w:p w14:paraId="71829FC2" w14:textId="77777777" w:rsidR="00CC49EC" w:rsidRDefault="00000000">
      <w:pPr>
        <w:pStyle w:val="ListParagraph"/>
        <w:numPr>
          <w:ilvl w:val="0"/>
          <w:numId w:val="2"/>
        </w:numPr>
        <w:spacing w:before="40" w:after="60"/>
      </w:pPr>
      <w:r>
        <w:t>All buy-side users do not have permission to download by default (as all buy-side project roles have View only access to the Project).</w:t>
      </w:r>
    </w:p>
    <w:p w14:paraId="71829FC3" w14:textId="77777777" w:rsidR="00CC49EC" w:rsidRDefault="00000000">
      <w:pPr>
        <w:pStyle w:val="ListParagraph"/>
        <w:numPr>
          <w:ilvl w:val="0"/>
          <w:numId w:val="2"/>
        </w:numPr>
        <w:spacing w:before="40" w:after="60"/>
      </w:pPr>
      <w:r>
        <w:t>If the buy-side requests download access, you will need to edit the buyer's Access Levels for Project Role in the Project Settings.</w:t>
      </w:r>
    </w:p>
    <w:p w14:paraId="71829FC4" w14:textId="77777777" w:rsidR="00CC49EC" w:rsidRDefault="00000000">
      <w:pPr>
        <w:pStyle w:val="ListParagraph"/>
        <w:numPr>
          <w:ilvl w:val="0"/>
          <w:numId w:val="2"/>
        </w:numPr>
        <w:spacing w:before="40" w:after="60"/>
      </w:pPr>
      <w:r>
        <w:lastRenderedPageBreak/>
        <w:t>Navigate to More &gt; Settings &gt; Access Levels &gt; Buy-side and upgrade the relevant buy-side Project Role to Edit or Full Access to allow download access.</w:t>
      </w:r>
    </w:p>
    <w:p w14:paraId="2AD18544" w14:textId="77777777" w:rsidR="004A792E" w:rsidRDefault="004A792E" w:rsidP="004A792E">
      <w:pPr>
        <w:spacing w:before="40" w:after="60"/>
      </w:pPr>
    </w:p>
    <w:p w14:paraId="300CA7A7" w14:textId="70888549" w:rsidR="004A792E" w:rsidRDefault="004A792E">
      <w:r>
        <w:br w:type="page"/>
      </w:r>
    </w:p>
    <w:p w14:paraId="77CB820D" w14:textId="77777777" w:rsidR="00FE7663" w:rsidRDefault="00FE7663" w:rsidP="00FE7663">
      <w:pPr>
        <w:rPr>
          <w:b/>
          <w:bCs/>
          <w:color w:val="1E3A5F"/>
          <w:sz w:val="32"/>
          <w:szCs w:val="32"/>
        </w:rPr>
      </w:pPr>
    </w:p>
    <w:p w14:paraId="55492B20" w14:textId="601D806A" w:rsidR="00FE7663" w:rsidRDefault="00FE7663" w:rsidP="00FE7663">
      <w:pPr>
        <w:pStyle w:val="Heading1"/>
      </w:pPr>
      <w:r>
        <w:t>Managing Buyer Q&amp;A</w:t>
      </w:r>
    </w:p>
    <w:p w14:paraId="730854F2" w14:textId="77777777" w:rsidR="00FE7663" w:rsidRDefault="00FE7663" w:rsidP="00FE7663">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FE7663" w14:paraId="6CAC9ABC" w14:textId="77777777" w:rsidTr="001F2B56">
        <w:tc>
          <w:tcPr>
            <w:tcW w:w="4819" w:type="dxa"/>
            <w:tcBorders>
              <w:top w:val="single" w:sz="1" w:space="0" w:color="1E3A5F"/>
              <w:left w:val="single" w:sz="1" w:space="0" w:color="1E3A5F"/>
              <w:bottom w:val="single" w:sz="1" w:space="0" w:color="1E3A5F"/>
              <w:right w:val="single" w:sz="1" w:space="0" w:color="1E3A5F"/>
            </w:tcBorders>
            <w:shd w:val="clear" w:color="auto" w:fill="D5E8F0"/>
            <w:tcMar>
              <w:top w:w="100" w:type="dxa"/>
              <w:left w:w="150" w:type="dxa"/>
              <w:bottom w:w="100" w:type="dxa"/>
              <w:right w:w="150" w:type="dxa"/>
            </w:tcMar>
          </w:tcPr>
          <w:p w14:paraId="21AFBE74" w14:textId="77777777" w:rsidR="00FE7663" w:rsidRDefault="00FE7663" w:rsidP="001F2B56">
            <w:pPr>
              <w:spacing w:after="40"/>
            </w:pPr>
            <w:r>
              <w:rPr>
                <w:b/>
                <w:bCs/>
                <w:color w:val="1E3A5F"/>
                <w:sz w:val="18"/>
                <w:szCs w:val="18"/>
              </w:rPr>
              <w:t>Persona</w:t>
            </w:r>
          </w:p>
          <w:p w14:paraId="6E2A2967" w14:textId="77777777" w:rsidR="00FE7663" w:rsidRDefault="00FE7663" w:rsidP="001F2B56">
            <w:r>
              <w:rPr>
                <w:sz w:val="20"/>
                <w:szCs w:val="20"/>
              </w:rPr>
              <w:t>Rachel Yuen (Manager — Buy-Side)</w:t>
            </w:r>
          </w:p>
        </w:tc>
        <w:tc>
          <w:tcPr>
            <w:tcW w:w="4819" w:type="dxa"/>
            <w:tcBorders>
              <w:top w:val="single" w:sz="1" w:space="0" w:color="1E3A5F"/>
              <w:left w:val="single" w:sz="1" w:space="0" w:color="1E3A5F"/>
              <w:bottom w:val="single" w:sz="1" w:space="0" w:color="1E3A5F"/>
              <w:right w:val="single" w:sz="1" w:space="0" w:color="1E3A5F"/>
            </w:tcBorders>
            <w:shd w:val="clear" w:color="auto" w:fill="D5E8F0"/>
            <w:tcMar>
              <w:top w:w="100" w:type="dxa"/>
              <w:left w:w="150" w:type="dxa"/>
              <w:bottom w:w="100" w:type="dxa"/>
              <w:right w:w="150" w:type="dxa"/>
            </w:tcMar>
          </w:tcPr>
          <w:p w14:paraId="62833646" w14:textId="77777777" w:rsidR="00FE7663" w:rsidRDefault="00FE7663" w:rsidP="001F2B56">
            <w:pPr>
              <w:spacing w:after="40"/>
            </w:pPr>
            <w:r>
              <w:rPr>
                <w:b/>
                <w:bCs/>
                <w:color w:val="1E3A5F"/>
                <w:sz w:val="18"/>
                <w:szCs w:val="18"/>
              </w:rPr>
              <w:t>Assigns RFIs to</w:t>
            </w:r>
          </w:p>
          <w:p w14:paraId="5EC5FDF5" w14:textId="77777777" w:rsidR="00FE7663" w:rsidRDefault="00FE7663" w:rsidP="001F2B56">
            <w:r>
              <w:rPr>
                <w:sz w:val="20"/>
                <w:szCs w:val="20"/>
              </w:rPr>
              <w:t>David Thornton (Manager – Sell-side) or Jane Doe (Project Owner / business broker)</w:t>
            </w:r>
          </w:p>
        </w:tc>
      </w:tr>
    </w:tbl>
    <w:p w14:paraId="34B90C5E" w14:textId="77777777" w:rsidR="00FE7663" w:rsidRDefault="00FE7663" w:rsidP="00FE7663">
      <w:pPr>
        <w:spacing w:after="80"/>
      </w:pPr>
    </w:p>
    <w:p w14:paraId="3A1C458B" w14:textId="77777777" w:rsidR="00FE7663" w:rsidRDefault="00FE7663" w:rsidP="00FE7663">
      <w:pPr>
        <w:spacing w:before="60" w:after="80"/>
      </w:pPr>
      <w:r>
        <w:t>With data room access granted, Hartwell's team begins their due diligence review. As questions arise, Rachel — as Manager — Buy-Side — raises them through the platform's RFI module. This keeps all buyer questions and seller responses formally documented within the project.</w:t>
      </w:r>
    </w:p>
    <w:p w14:paraId="69A4C5B4" w14:textId="77777777" w:rsidR="00FE7663" w:rsidRDefault="00FE7663" w:rsidP="00FE7663">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FE7663" w14:paraId="01FD6018" w14:textId="77777777" w:rsidTr="001F2B56">
        <w:tc>
          <w:tcPr>
            <w:tcW w:w="9638" w:type="dxa"/>
            <w:tcBorders>
              <w:top w:val="single" w:sz="1" w:space="0" w:color="F9A825"/>
              <w:left w:val="single" w:sz="1" w:space="0" w:color="F9A825"/>
              <w:bottom w:val="single" w:sz="1" w:space="0" w:color="F9A825"/>
              <w:right w:val="single" w:sz="1" w:space="0" w:color="F9A825"/>
            </w:tcBorders>
            <w:shd w:val="clear" w:color="auto" w:fill="FFFDE7"/>
            <w:tcMar>
              <w:top w:w="120" w:type="dxa"/>
              <w:left w:w="180" w:type="dxa"/>
              <w:bottom w:w="120" w:type="dxa"/>
              <w:right w:w="180" w:type="dxa"/>
            </w:tcMar>
          </w:tcPr>
          <w:p w14:paraId="71416CEB" w14:textId="77777777" w:rsidR="00FE7663" w:rsidRDefault="00FE7663" w:rsidP="001F2B56">
            <w:r>
              <w:rPr>
                <w:b/>
                <w:bCs/>
                <w:sz w:val="20"/>
                <w:szCs w:val="20"/>
              </w:rPr>
              <w:t>💡  Tip — Why RFIs Beat Email for Q&amp;A</w:t>
            </w:r>
          </w:p>
          <w:p w14:paraId="75FC6E1A" w14:textId="77777777" w:rsidR="00FE7663" w:rsidRDefault="00FE7663" w:rsidP="001F2B56">
            <w:pPr>
              <w:spacing w:before="40"/>
            </w:pPr>
            <w:r>
              <w:rPr>
                <w:sz w:val="20"/>
                <w:szCs w:val="20"/>
              </w:rPr>
              <w:t>Every question and answer is timestamped and stored within the project — creating a formal disclosure record. The broker can see all questions across all buyers, which helps manage a competitive sale process and ensures consistent responses.</w:t>
            </w:r>
          </w:p>
          <w:p w14:paraId="7018C9AA" w14:textId="77777777" w:rsidR="00FE7663" w:rsidRDefault="00FE7663" w:rsidP="001F2B56">
            <w:pPr>
              <w:spacing w:before="40"/>
            </w:pPr>
            <w:r>
              <w:rPr>
                <w:sz w:val="20"/>
                <w:szCs w:val="20"/>
              </w:rPr>
              <w:t>If the same question is raised by multiple buyers, the broker can issue a single response to all parties simultaneously. The Q&amp;A log is a valuable document for the seller's file and can be provided to the buyer's lawyers at settlement as evidence of disclosure.</w:t>
            </w:r>
          </w:p>
        </w:tc>
      </w:tr>
    </w:tbl>
    <w:p w14:paraId="705C2A65" w14:textId="77777777" w:rsidR="00FE7663" w:rsidRDefault="00FE7663" w:rsidP="00FE7663">
      <w:pPr>
        <w:spacing w:after="80"/>
      </w:pPr>
    </w:p>
    <w:p w14:paraId="1AD34EF2" w14:textId="77777777" w:rsidR="00FE7663" w:rsidRDefault="00FE7663" w:rsidP="00FE7663">
      <w:pPr>
        <w:pStyle w:val="Heading2"/>
      </w:pPr>
      <w:r>
        <w:t>7.1  Rachel (Manager – Buy-side) Creates a RFI</w:t>
      </w:r>
    </w:p>
    <w:p w14:paraId="378853D6" w14:textId="77777777" w:rsidR="00FE7663" w:rsidRDefault="00FE7663" w:rsidP="00FE7663">
      <w:pPr>
        <w:spacing w:before="60" w:after="80"/>
      </w:pPr>
      <w:r>
        <w:t>After reviewing Apex's financial statements, Rachel has a question about a significant revenue decline in FY2022. Rather than emailing the Seller, David, she raises a formal RFI through the platform.</w:t>
      </w:r>
    </w:p>
    <w:p w14:paraId="0404FBE2" w14:textId="77777777" w:rsidR="00FE7663" w:rsidRDefault="00FE7663" w:rsidP="00FE7663">
      <w:pPr>
        <w:pStyle w:val="ListParagraph"/>
        <w:numPr>
          <w:ilvl w:val="0"/>
          <w:numId w:val="3"/>
        </w:numPr>
        <w:spacing w:before="40" w:after="60"/>
      </w:pPr>
      <w:r>
        <w:t>Rachel navigates to the RFI section of Project Alpha.</w:t>
      </w:r>
    </w:p>
    <w:p w14:paraId="4E3FB6FC" w14:textId="77777777" w:rsidR="00FE7663" w:rsidRDefault="00FE7663" w:rsidP="00FE7663">
      <w:pPr>
        <w:pStyle w:val="ListParagraph"/>
        <w:numPr>
          <w:ilvl w:val="0"/>
          <w:numId w:val="3"/>
        </w:numPr>
        <w:spacing w:before="40" w:after="60"/>
      </w:pPr>
      <w:r>
        <w:t>She clicks Create RFI and selects the category and sub-category (optional): Financial.</w:t>
      </w:r>
    </w:p>
    <w:p w14:paraId="7D5BCFFD" w14:textId="77777777" w:rsidR="00FE7663" w:rsidRDefault="00FE7663" w:rsidP="00FE7663">
      <w:pPr>
        <w:pStyle w:val="ListParagraph"/>
        <w:numPr>
          <w:ilvl w:val="0"/>
          <w:numId w:val="3"/>
        </w:numPr>
        <w:spacing w:before="40" w:after="60"/>
      </w:pPr>
      <w:r>
        <w:t>She enters the question, for example: "Revenue in FY2022 appears to have declined approximately 18% compared to FY2021. Please explain the primary drivers of this decline and confirm whether the underlying conditions have been resolved."</w:t>
      </w:r>
    </w:p>
    <w:p w14:paraId="46471312" w14:textId="77777777" w:rsidR="00FE7663" w:rsidRDefault="00FE7663" w:rsidP="00FE7663">
      <w:pPr>
        <w:pStyle w:val="ListParagraph"/>
        <w:numPr>
          <w:ilvl w:val="0"/>
          <w:numId w:val="3"/>
        </w:numPr>
        <w:spacing w:before="40" w:after="60"/>
      </w:pPr>
      <w:r>
        <w:t>She links the RFI to the Related document in the Data Room (the FY2022 financial statements).</w:t>
      </w:r>
    </w:p>
    <w:p w14:paraId="2FB3849D" w14:textId="77777777" w:rsidR="00FE7663" w:rsidRDefault="00FE7663" w:rsidP="00FE7663">
      <w:pPr>
        <w:pStyle w:val="ListParagraph"/>
        <w:numPr>
          <w:ilvl w:val="0"/>
          <w:numId w:val="3"/>
        </w:numPr>
        <w:spacing w:before="40" w:after="60"/>
      </w:pPr>
      <w:r>
        <w:t>The Project Owner (Jane Doe) will receive an email notification that a RFI has been created.</w:t>
      </w:r>
    </w:p>
    <w:p w14:paraId="14F3442B" w14:textId="77777777" w:rsidR="00FE7663" w:rsidRDefault="00FE7663" w:rsidP="00FE7663">
      <w:pPr>
        <w:pStyle w:val="ListParagraph"/>
        <w:numPr>
          <w:ilvl w:val="0"/>
          <w:numId w:val="3"/>
        </w:numPr>
        <w:spacing w:before="40" w:after="60"/>
      </w:pPr>
      <w:r>
        <w:t>Jane Doe assigns the RFI to David (or a responsible sell-side team member). David or another assignee is notified immediately.</w:t>
      </w:r>
    </w:p>
    <w:p w14:paraId="538AE3E3" w14:textId="77777777" w:rsidR="00FE7663" w:rsidRDefault="00FE7663" w:rsidP="00FE7663">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FE7663" w14:paraId="68071E49" w14:textId="77777777" w:rsidTr="001F2B56">
        <w:tc>
          <w:tcPr>
            <w:tcW w:w="9638" w:type="dxa"/>
            <w:tcBorders>
              <w:top w:val="single" w:sz="1" w:space="0" w:color="F9A825"/>
              <w:left w:val="single" w:sz="1" w:space="0" w:color="F9A825"/>
              <w:bottom w:val="single" w:sz="1" w:space="0" w:color="F9A825"/>
              <w:right w:val="single" w:sz="1" w:space="0" w:color="F9A825"/>
            </w:tcBorders>
            <w:shd w:val="clear" w:color="auto" w:fill="FFFDE7"/>
            <w:tcMar>
              <w:top w:w="120" w:type="dxa"/>
              <w:left w:w="180" w:type="dxa"/>
              <w:bottom w:w="120" w:type="dxa"/>
              <w:right w:w="180" w:type="dxa"/>
            </w:tcMar>
          </w:tcPr>
          <w:p w14:paraId="12555322" w14:textId="77777777" w:rsidR="00FE7663" w:rsidRDefault="00FE7663" w:rsidP="001F2B56">
            <w:r>
              <w:rPr>
                <w:b/>
                <w:bCs/>
                <w:sz w:val="20"/>
                <w:szCs w:val="20"/>
              </w:rPr>
              <w:t>💡  Tip — How to bulk import RFIs instead of creating individual RFIs</w:t>
            </w:r>
          </w:p>
          <w:p w14:paraId="6E6306C1" w14:textId="77777777" w:rsidR="00FE7663" w:rsidRDefault="00FE7663" w:rsidP="001F2B56">
            <w:pPr>
              <w:spacing w:before="40"/>
            </w:pPr>
            <w:r>
              <w:rPr>
                <w:sz w:val="20"/>
                <w:szCs w:val="20"/>
              </w:rPr>
              <w:t>If Rachel is managing the RFIs from the buy-side team, she can add them to a template before bulk importing them to the project. Download the template RFI list (in .xlsx format) from the link provided in the platform.</w:t>
            </w:r>
          </w:p>
        </w:tc>
      </w:tr>
    </w:tbl>
    <w:p w14:paraId="7421C03E" w14:textId="77777777" w:rsidR="00FE7663" w:rsidRDefault="00FE7663" w:rsidP="00FE7663">
      <w:pPr>
        <w:spacing w:after="80"/>
      </w:pPr>
    </w:p>
    <w:p w14:paraId="4DD8EFAD" w14:textId="77777777" w:rsidR="00FE7663" w:rsidRDefault="00FE7663" w:rsidP="00FE7663">
      <w:pPr>
        <w:pStyle w:val="Heading2"/>
      </w:pPr>
      <w:r>
        <w:t>7.2  David Reviews and Routes the RFI</w:t>
      </w:r>
    </w:p>
    <w:p w14:paraId="166FA215" w14:textId="77777777" w:rsidR="00FE7663" w:rsidRDefault="00FE7663" w:rsidP="00FE7663">
      <w:pPr>
        <w:spacing w:before="60" w:after="80"/>
      </w:pPr>
      <w:r>
        <w:t>David receives the notification and reviews Rachel's RFI. As the Manager, he acts as a filter — he can respond directly if the answer is straightforward, or route it to another sell-side team member to provide a response before being approved by David and/or the sell-side broker.</w:t>
      </w:r>
    </w:p>
    <w:p w14:paraId="53A9B820" w14:textId="77777777" w:rsidR="00FE7663" w:rsidRDefault="00FE7663" w:rsidP="00FE7663">
      <w:pPr>
        <w:pStyle w:val="ListParagraph"/>
        <w:numPr>
          <w:ilvl w:val="0"/>
          <w:numId w:val="3"/>
        </w:numPr>
        <w:spacing w:before="40" w:after="60"/>
      </w:pPr>
      <w:r>
        <w:lastRenderedPageBreak/>
        <w:t>David reviews the RFI and determines it requires a response from Priya (the seller's accountant).</w:t>
      </w:r>
    </w:p>
    <w:p w14:paraId="31097BD1" w14:textId="77777777" w:rsidR="00FE7663" w:rsidRDefault="00FE7663" w:rsidP="00FE7663">
      <w:pPr>
        <w:pStyle w:val="ListParagraph"/>
        <w:numPr>
          <w:ilvl w:val="0"/>
          <w:numId w:val="3"/>
        </w:numPr>
        <w:spacing w:before="40" w:after="60"/>
      </w:pPr>
      <w:r>
        <w:t>He assigns the RFI to Priya with a comment: "Please provide a written explanation of the FY2022 revenue decline with reference to the management accounts."</w:t>
      </w:r>
    </w:p>
    <w:p w14:paraId="53DFD2BF" w14:textId="77777777" w:rsidR="00FE7663" w:rsidRDefault="00FE7663" w:rsidP="00FE7663">
      <w:pPr>
        <w:pStyle w:val="ListParagraph"/>
        <w:numPr>
          <w:ilvl w:val="0"/>
          <w:numId w:val="3"/>
        </w:numPr>
        <w:spacing w:before="40" w:after="60"/>
      </w:pPr>
      <w:r>
        <w:t>Priya receives a notification that the RFI has been assigned to her.</w:t>
      </w:r>
    </w:p>
    <w:p w14:paraId="4CA4D0B6" w14:textId="77777777" w:rsidR="00FE7663" w:rsidRDefault="00FE7663" w:rsidP="00FE7663">
      <w:pPr>
        <w:pStyle w:val="ListParagraph"/>
        <w:numPr>
          <w:ilvl w:val="0"/>
          <w:numId w:val="3"/>
        </w:numPr>
        <w:spacing w:before="40" w:after="60"/>
      </w:pPr>
      <w:r>
        <w:t>Priya responds and re-assigns back to David and/or Jane Doe for approval before assigning it back to the buy-side (Rachel).</w:t>
      </w:r>
    </w:p>
    <w:p w14:paraId="69E7C276" w14:textId="77777777" w:rsidR="00FE7663" w:rsidRDefault="00FE7663" w:rsidP="00FE7663">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FE7663" w14:paraId="36426319" w14:textId="77777777" w:rsidTr="001F2B56">
        <w:tc>
          <w:tcPr>
            <w:tcW w:w="9638" w:type="dxa"/>
            <w:tcBorders>
              <w:top w:val="single" w:sz="1" w:space="0" w:color="A5D6A7"/>
              <w:left w:val="single" w:sz="1" w:space="0" w:color="A5D6A7"/>
              <w:bottom w:val="single" w:sz="1" w:space="0" w:color="A5D6A7"/>
              <w:right w:val="single" w:sz="1" w:space="0" w:color="A5D6A7"/>
            </w:tcBorders>
            <w:shd w:val="clear" w:color="auto" w:fill="E8F5E9"/>
            <w:tcMar>
              <w:top w:w="120" w:type="dxa"/>
              <w:left w:w="180" w:type="dxa"/>
              <w:bottom w:w="120" w:type="dxa"/>
              <w:right w:w="180" w:type="dxa"/>
            </w:tcMar>
          </w:tcPr>
          <w:p w14:paraId="7B1C1BBB" w14:textId="77777777" w:rsidR="00FE7663" w:rsidRDefault="00FE7663" w:rsidP="001F2B56">
            <w:r>
              <w:rPr>
                <w:b/>
                <w:bCs/>
                <w:sz w:val="20"/>
                <w:szCs w:val="20"/>
              </w:rPr>
              <w:t>📋  Broker Review of Responses — Best Practice</w:t>
            </w:r>
          </w:p>
          <w:p w14:paraId="0060C03C" w14:textId="77777777" w:rsidR="00FE7663" w:rsidRDefault="00FE7663" w:rsidP="001F2B56">
            <w:pPr>
              <w:spacing w:before="40"/>
            </w:pPr>
            <w:r>
              <w:rPr>
                <w:sz w:val="20"/>
                <w:szCs w:val="20"/>
              </w:rPr>
              <w:t>The broker should always review sell-side responses before they are released to buyers. Check that the response is accurate, complete, and does not inadvertently disclose information beyond what has been released in the data room.</w:t>
            </w:r>
          </w:p>
          <w:p w14:paraId="1ABB7579" w14:textId="77777777" w:rsidR="00FE7663" w:rsidRDefault="00FE7663" w:rsidP="001F2B56">
            <w:pPr>
              <w:spacing w:before="40"/>
            </w:pPr>
            <w:r>
              <w:rPr>
                <w:sz w:val="20"/>
                <w:szCs w:val="20"/>
              </w:rPr>
              <w:t>If a response requires a new document to be uploaded, ensure it is added to the correct data room folder and that buy-side access is configured correctly before the RFI response is approved.</w:t>
            </w:r>
          </w:p>
          <w:p w14:paraId="249654DD" w14:textId="77777777" w:rsidR="00FE7663" w:rsidRDefault="00FE7663" w:rsidP="001F2B56">
            <w:pPr>
              <w:spacing w:before="40"/>
            </w:pPr>
            <w:r>
              <w:rPr>
                <w:sz w:val="20"/>
                <w:szCs w:val="20"/>
              </w:rPr>
              <w:t>Keep response language professional and factual — the RFI record may be reviewed by lawyers at a later stage.</w:t>
            </w:r>
          </w:p>
        </w:tc>
      </w:tr>
    </w:tbl>
    <w:p w14:paraId="406E36A2" w14:textId="77777777" w:rsidR="004A792E" w:rsidRDefault="004A792E" w:rsidP="004A792E">
      <w:pPr>
        <w:spacing w:before="40" w:after="60"/>
      </w:pPr>
    </w:p>
    <w:sectPr w:rsidR="004A792E">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93E11"/>
    <w:multiLevelType w:val="hybridMultilevel"/>
    <w:tmpl w:val="8A78B320"/>
    <w:lvl w:ilvl="0" w:tplc="721E7BC2">
      <w:start w:val="1"/>
      <w:numFmt w:val="bullet"/>
      <w:lvlText w:val="•"/>
      <w:lvlJc w:val="left"/>
      <w:pPr>
        <w:ind w:left="720" w:hanging="360"/>
      </w:pPr>
    </w:lvl>
    <w:lvl w:ilvl="1" w:tplc="68AE63DE">
      <w:start w:val="1"/>
      <w:numFmt w:val="bullet"/>
      <w:lvlText w:val="–"/>
      <w:lvlJc w:val="left"/>
      <w:pPr>
        <w:ind w:left="1080" w:hanging="360"/>
      </w:pPr>
    </w:lvl>
    <w:lvl w:ilvl="2" w:tplc="B686B370">
      <w:numFmt w:val="decimal"/>
      <w:lvlText w:val=""/>
      <w:lvlJc w:val="left"/>
    </w:lvl>
    <w:lvl w:ilvl="3" w:tplc="5BD46F14">
      <w:numFmt w:val="decimal"/>
      <w:lvlText w:val=""/>
      <w:lvlJc w:val="left"/>
    </w:lvl>
    <w:lvl w:ilvl="4" w:tplc="C80E4ED8">
      <w:numFmt w:val="decimal"/>
      <w:lvlText w:val=""/>
      <w:lvlJc w:val="left"/>
    </w:lvl>
    <w:lvl w:ilvl="5" w:tplc="339C6E80">
      <w:numFmt w:val="decimal"/>
      <w:lvlText w:val=""/>
      <w:lvlJc w:val="left"/>
    </w:lvl>
    <w:lvl w:ilvl="6" w:tplc="9B2A194E">
      <w:numFmt w:val="decimal"/>
      <w:lvlText w:val=""/>
      <w:lvlJc w:val="left"/>
    </w:lvl>
    <w:lvl w:ilvl="7" w:tplc="1F9E478A">
      <w:numFmt w:val="decimal"/>
      <w:lvlText w:val=""/>
      <w:lvlJc w:val="left"/>
    </w:lvl>
    <w:lvl w:ilvl="8" w:tplc="E1E23046">
      <w:numFmt w:val="decimal"/>
      <w:lvlText w:val=""/>
      <w:lvlJc w:val="left"/>
    </w:lvl>
  </w:abstractNum>
  <w:abstractNum w:abstractNumId="1" w15:restartNumberingAfterBreak="0">
    <w:nsid w:val="3B2F2718"/>
    <w:multiLevelType w:val="hybridMultilevel"/>
    <w:tmpl w:val="F4422212"/>
    <w:lvl w:ilvl="0" w:tplc="71FE8F82">
      <w:start w:val="1"/>
      <w:numFmt w:val="bullet"/>
      <w:lvlText w:val="●"/>
      <w:lvlJc w:val="left"/>
      <w:pPr>
        <w:ind w:left="720" w:hanging="360"/>
      </w:pPr>
    </w:lvl>
    <w:lvl w:ilvl="1" w:tplc="DE0C2B24">
      <w:start w:val="1"/>
      <w:numFmt w:val="bullet"/>
      <w:lvlText w:val="○"/>
      <w:lvlJc w:val="left"/>
      <w:pPr>
        <w:ind w:left="1440" w:hanging="360"/>
      </w:pPr>
    </w:lvl>
    <w:lvl w:ilvl="2" w:tplc="620CF236">
      <w:start w:val="1"/>
      <w:numFmt w:val="bullet"/>
      <w:lvlText w:val="■"/>
      <w:lvlJc w:val="left"/>
      <w:pPr>
        <w:ind w:left="2160" w:hanging="360"/>
      </w:pPr>
    </w:lvl>
    <w:lvl w:ilvl="3" w:tplc="CBC024F6">
      <w:start w:val="1"/>
      <w:numFmt w:val="bullet"/>
      <w:lvlText w:val="●"/>
      <w:lvlJc w:val="left"/>
      <w:pPr>
        <w:ind w:left="2880" w:hanging="360"/>
      </w:pPr>
    </w:lvl>
    <w:lvl w:ilvl="4" w:tplc="6622A7FE">
      <w:start w:val="1"/>
      <w:numFmt w:val="bullet"/>
      <w:lvlText w:val="○"/>
      <w:lvlJc w:val="left"/>
      <w:pPr>
        <w:ind w:left="3600" w:hanging="360"/>
      </w:pPr>
    </w:lvl>
    <w:lvl w:ilvl="5" w:tplc="6A969184">
      <w:start w:val="1"/>
      <w:numFmt w:val="bullet"/>
      <w:lvlText w:val="■"/>
      <w:lvlJc w:val="left"/>
      <w:pPr>
        <w:ind w:left="4320" w:hanging="360"/>
      </w:pPr>
    </w:lvl>
    <w:lvl w:ilvl="6" w:tplc="0DA6E68E">
      <w:start w:val="1"/>
      <w:numFmt w:val="bullet"/>
      <w:lvlText w:val="●"/>
      <w:lvlJc w:val="left"/>
      <w:pPr>
        <w:ind w:left="5040" w:hanging="360"/>
      </w:pPr>
    </w:lvl>
    <w:lvl w:ilvl="7" w:tplc="77903088">
      <w:start w:val="1"/>
      <w:numFmt w:val="bullet"/>
      <w:lvlText w:val="●"/>
      <w:lvlJc w:val="left"/>
      <w:pPr>
        <w:ind w:left="5760" w:hanging="360"/>
      </w:pPr>
    </w:lvl>
    <w:lvl w:ilvl="8" w:tplc="18C809C0">
      <w:start w:val="1"/>
      <w:numFmt w:val="bullet"/>
      <w:lvlText w:val="●"/>
      <w:lvlJc w:val="left"/>
      <w:pPr>
        <w:ind w:left="6480" w:hanging="360"/>
      </w:pPr>
    </w:lvl>
  </w:abstractNum>
  <w:abstractNum w:abstractNumId="2" w15:restartNumberingAfterBreak="0">
    <w:nsid w:val="6FD45A89"/>
    <w:multiLevelType w:val="hybridMultilevel"/>
    <w:tmpl w:val="F3382E42"/>
    <w:lvl w:ilvl="0" w:tplc="F370B590">
      <w:start w:val="1"/>
      <w:numFmt w:val="bullet"/>
      <w:lvlText w:val="•"/>
      <w:lvlJc w:val="left"/>
      <w:pPr>
        <w:ind w:left="720" w:hanging="360"/>
      </w:pPr>
    </w:lvl>
    <w:lvl w:ilvl="1" w:tplc="C4744A14">
      <w:start w:val="1"/>
      <w:numFmt w:val="bullet"/>
      <w:lvlText w:val="–"/>
      <w:lvlJc w:val="left"/>
      <w:pPr>
        <w:ind w:left="1080" w:hanging="360"/>
      </w:pPr>
    </w:lvl>
    <w:lvl w:ilvl="2" w:tplc="2DA22CAC">
      <w:numFmt w:val="decimal"/>
      <w:lvlText w:val=""/>
      <w:lvlJc w:val="left"/>
    </w:lvl>
    <w:lvl w:ilvl="3" w:tplc="118CA156">
      <w:numFmt w:val="decimal"/>
      <w:lvlText w:val=""/>
      <w:lvlJc w:val="left"/>
    </w:lvl>
    <w:lvl w:ilvl="4" w:tplc="E64A244E">
      <w:numFmt w:val="decimal"/>
      <w:lvlText w:val=""/>
      <w:lvlJc w:val="left"/>
    </w:lvl>
    <w:lvl w:ilvl="5" w:tplc="4F143E1E">
      <w:numFmt w:val="decimal"/>
      <w:lvlText w:val=""/>
      <w:lvlJc w:val="left"/>
    </w:lvl>
    <w:lvl w:ilvl="6" w:tplc="4E3852B4">
      <w:numFmt w:val="decimal"/>
      <w:lvlText w:val=""/>
      <w:lvlJc w:val="left"/>
    </w:lvl>
    <w:lvl w:ilvl="7" w:tplc="55DA1428">
      <w:numFmt w:val="decimal"/>
      <w:lvlText w:val=""/>
      <w:lvlJc w:val="left"/>
    </w:lvl>
    <w:lvl w:ilvl="8" w:tplc="A330DC08">
      <w:numFmt w:val="decimal"/>
      <w:lvlText w:val=""/>
      <w:lvlJc w:val="left"/>
    </w:lvl>
  </w:abstractNum>
  <w:num w:numId="1" w16cid:durableId="691997552">
    <w:abstractNumId w:val="1"/>
    <w:lvlOverride w:ilvl="0">
      <w:startOverride w:val="1"/>
    </w:lvlOverride>
  </w:num>
  <w:num w:numId="2" w16cid:durableId="2006391726">
    <w:abstractNumId w:val="0"/>
    <w:lvlOverride w:ilvl="0">
      <w:startOverride w:val="1"/>
    </w:lvlOverride>
  </w:num>
  <w:num w:numId="3" w16cid:durableId="613488982">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9EC"/>
    <w:rsid w:val="000B48AF"/>
    <w:rsid w:val="001679C0"/>
    <w:rsid w:val="004A792E"/>
    <w:rsid w:val="008B6223"/>
    <w:rsid w:val="00920943"/>
    <w:rsid w:val="00A74C3B"/>
    <w:rsid w:val="00CC49EC"/>
    <w:rsid w:val="00E03D60"/>
    <w:rsid w:val="00E202A6"/>
    <w:rsid w:val="00EE5D60"/>
    <w:rsid w:val="00FE7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29F8A"/>
  <w15:docId w15:val="{A045301F-84F2-414B-9DBD-ABF468434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spacing w:before="240" w:after="200"/>
      <w:outlineLvl w:val="0"/>
    </w:pPr>
    <w:rPr>
      <w:b/>
      <w:bCs/>
      <w:color w:val="1E3A5F"/>
      <w:sz w:val="32"/>
      <w:szCs w:val="32"/>
    </w:rPr>
  </w:style>
  <w:style w:type="paragraph" w:styleId="Heading2">
    <w:name w:val="heading 2"/>
    <w:link w:val="Heading2Char"/>
    <w:uiPriority w:val="9"/>
    <w:unhideWhenUsed/>
    <w:qFormat/>
    <w:pPr>
      <w:spacing w:before="200" w:after="140"/>
      <w:outlineLvl w:val="1"/>
    </w:pPr>
    <w:rPr>
      <w:b/>
      <w:bCs/>
      <w:color w:val="1E3A5F"/>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customStyle="1" w:styleId="Heading1Char">
    <w:name w:val="Heading 1 Char"/>
    <w:basedOn w:val="DefaultParagraphFont"/>
    <w:link w:val="Heading1"/>
    <w:uiPriority w:val="9"/>
    <w:rsid w:val="00FE7663"/>
    <w:rPr>
      <w:b/>
      <w:bCs/>
      <w:color w:val="1E3A5F"/>
      <w:sz w:val="32"/>
      <w:szCs w:val="32"/>
    </w:rPr>
  </w:style>
  <w:style w:type="character" w:customStyle="1" w:styleId="Heading2Char">
    <w:name w:val="Heading 2 Char"/>
    <w:basedOn w:val="DefaultParagraphFont"/>
    <w:link w:val="Heading2"/>
    <w:uiPriority w:val="9"/>
    <w:rsid w:val="00FE7663"/>
    <w:rPr>
      <w:b/>
      <w:bCs/>
      <w:color w:val="1E3A5F"/>
      <w:sz w:val="26"/>
      <w:szCs w:val="26"/>
    </w:rPr>
  </w:style>
  <w:style w:type="paragraph" w:styleId="Revision">
    <w:name w:val="Revision"/>
    <w:hidden/>
    <w:uiPriority w:val="99"/>
    <w:semiHidden/>
    <w:rsid w:val="00FE76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cs.google.com/document/d/1cUr3STw8WpLjD86HW4HXr2HbL5LYhV-b/edi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8AA64E-6009-45FE-AAD6-76B0E5F94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1308</Words>
  <Characters>7458</Characters>
  <Application>Microsoft Office Word</Application>
  <DocSecurity>0</DocSecurity>
  <Lines>62</Lines>
  <Paragraphs>17</Paragraphs>
  <ScaleCrop>false</ScaleCrop>
  <Company/>
  <LinksUpToDate>false</LinksUpToDate>
  <CharactersWithSpaces>8749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Julia Scott (Due)</cp:lastModifiedBy>
  <cp:revision>8</cp:revision>
  <dcterms:created xsi:type="dcterms:W3CDTF">2026-05-12T02:43:00Z</dcterms:created>
  <dcterms:modified xsi:type="dcterms:W3CDTF">2026-05-14T07:24:00Z</dcterms:modified>
</cp:coreProperties>
</file>